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5E841" w14:textId="0F511C6F" w:rsidR="00DB696D" w:rsidRPr="00DB696D" w:rsidRDefault="00DB696D" w:rsidP="00DB696D">
      <w:pPr>
        <w:jc w:val="center"/>
        <w:rPr>
          <w:rFonts w:ascii="黑体" w:eastAsia="黑体" w:hAnsi="黑体" w:cs="Times New Roman" w:hint="eastAsia"/>
          <w:bCs/>
          <w:color w:val="0000FF"/>
          <w:sz w:val="32"/>
          <w:szCs w:val="32"/>
        </w:rPr>
      </w:pPr>
      <w:r w:rsidRPr="00DB696D">
        <w:rPr>
          <w:rFonts w:ascii="黑体" w:eastAsia="黑体" w:hAnsi="黑体" w:cs="Times New Roman" w:hint="eastAsia"/>
          <w:bCs/>
          <w:color w:val="0000FF"/>
          <w:sz w:val="32"/>
          <w:szCs w:val="32"/>
        </w:rPr>
        <w:t>质谱与功能组学平台送样指南、检测项目及技术方案</w:t>
      </w:r>
    </w:p>
    <w:p w14:paraId="312978C3" w14:textId="446448C5" w:rsidR="00C66078" w:rsidRPr="00C103D7" w:rsidRDefault="00C103D7" w:rsidP="00C103D7">
      <w:pPr>
        <w:jc w:val="left"/>
        <w:rPr>
          <w:rFonts w:ascii="华文宋体" w:eastAsia="华文宋体" w:hAnsi="华文宋体" w:cs="Times New Roman"/>
          <w:b/>
          <w:bCs/>
          <w:color w:val="FF0000"/>
          <w:szCs w:val="21"/>
        </w:rPr>
      </w:pPr>
      <w:r w:rsidRPr="00C103D7">
        <w:rPr>
          <w:rFonts w:ascii="华文宋体" w:eastAsia="华文宋体" w:hAnsi="华文宋体" w:cs="Times New Roman" w:hint="eastAsia"/>
          <w:b/>
          <w:bCs/>
          <w:color w:val="FF0000"/>
          <w:szCs w:val="21"/>
        </w:rPr>
        <w:t>一</w:t>
      </w:r>
      <w:r>
        <w:rPr>
          <w:rFonts w:ascii="华文宋体" w:eastAsia="华文宋体" w:hAnsi="华文宋体" w:cs="Times New Roman" w:hint="eastAsia"/>
          <w:b/>
          <w:bCs/>
          <w:color w:val="FF0000"/>
          <w:szCs w:val="21"/>
        </w:rPr>
        <w:t>、</w:t>
      </w:r>
      <w:r w:rsidR="00E7236D" w:rsidRPr="00C103D7">
        <w:rPr>
          <w:rFonts w:ascii="华文宋体" w:eastAsia="华文宋体" w:hAnsi="华文宋体" w:cs="Times New Roman" w:hint="eastAsia"/>
          <w:b/>
          <w:bCs/>
          <w:color w:val="FF0000"/>
          <w:szCs w:val="21"/>
        </w:rPr>
        <w:t>送样指南</w:t>
      </w:r>
    </w:p>
    <w:p w14:paraId="1F0AB087" w14:textId="77777777" w:rsidR="00C66078" w:rsidRPr="008A7A56" w:rsidRDefault="00C66078">
      <w:pPr>
        <w:jc w:val="left"/>
        <w:rPr>
          <w:rFonts w:ascii="华文宋体" w:eastAsia="华文宋体" w:hAnsi="华文宋体" w:cs="Times New Roman"/>
          <w:b/>
          <w:bCs/>
          <w:szCs w:val="21"/>
        </w:rPr>
      </w:pPr>
    </w:p>
    <w:p w14:paraId="7822DCCB" w14:textId="0CAE0B25" w:rsidR="00C66078" w:rsidRPr="008A7A56" w:rsidRDefault="00E7236D">
      <w:pPr>
        <w:jc w:val="left"/>
        <w:rPr>
          <w:rFonts w:ascii="华文宋体" w:eastAsia="华文宋体" w:hAnsi="华文宋体" w:cs="Times New Roman"/>
          <w:b/>
          <w:bCs/>
          <w:szCs w:val="21"/>
        </w:rPr>
      </w:pPr>
      <w:r w:rsidRPr="008A7A56">
        <w:rPr>
          <w:rFonts w:ascii="华文宋体" w:eastAsia="华文宋体" w:hAnsi="华文宋体" w:cs="Times New Roman" w:hint="eastAsia"/>
          <w:b/>
          <w:bCs/>
          <w:szCs w:val="21"/>
        </w:rPr>
        <w:t>蛋白质组</w:t>
      </w:r>
    </w:p>
    <w:p w14:paraId="6C7D48F6" w14:textId="0BEE32AE" w:rsidR="00C66078" w:rsidRPr="008A7A56" w:rsidRDefault="00C66078" w:rsidP="00E53087">
      <w:pPr>
        <w:rPr>
          <w:rFonts w:ascii="华文宋体" w:eastAsia="华文宋体" w:hAnsi="华文宋体" w:cs="Times New Roman"/>
          <w:szCs w:val="21"/>
        </w:rPr>
      </w:pPr>
    </w:p>
    <w:p w14:paraId="4C1B0571" w14:textId="6D1DD06E" w:rsidR="00EE2774" w:rsidRPr="008A7A56" w:rsidRDefault="00660B9C" w:rsidP="007C5A8C">
      <w:pPr>
        <w:jc w:val="center"/>
        <w:rPr>
          <w:rFonts w:ascii="华文宋体" w:eastAsia="华文宋体" w:hAnsi="华文宋体" w:cs="Times New Roman"/>
          <w:szCs w:val="21"/>
        </w:rPr>
      </w:pPr>
      <w:r>
        <w:rPr>
          <w:rFonts w:ascii="华文宋体" w:eastAsia="华文宋体" w:hAnsi="华文宋体" w:cs="Times New Roman"/>
          <w:noProof/>
          <w:szCs w:val="21"/>
        </w:rPr>
        <w:drawing>
          <wp:inline distT="0" distB="0" distL="0" distR="0" wp14:anchorId="2BD20160" wp14:editId="5CBF951C">
            <wp:extent cx="5274310" cy="285877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蛋白组送样指南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4F0E4" w14:textId="77777777" w:rsidR="00C66078" w:rsidRPr="00C103D7" w:rsidRDefault="00E7236D">
      <w:pPr>
        <w:jc w:val="left"/>
        <w:rPr>
          <w:rFonts w:ascii="华文宋体" w:eastAsia="华文宋体" w:hAnsi="华文宋体" w:cs="Times New Roman"/>
          <w:b/>
          <w:szCs w:val="21"/>
        </w:rPr>
      </w:pPr>
      <w:r w:rsidRPr="00C103D7">
        <w:rPr>
          <w:rFonts w:ascii="华文宋体" w:eastAsia="华文宋体" w:hAnsi="华文宋体" w:cs="Times New Roman" w:hint="eastAsia"/>
          <w:b/>
          <w:szCs w:val="21"/>
        </w:rPr>
        <w:t>注意事项：</w:t>
      </w:r>
    </w:p>
    <w:p w14:paraId="447A277B" w14:textId="3EA37280" w:rsidR="00C66078" w:rsidRPr="008A7A56" w:rsidRDefault="00E7236D">
      <w:pPr>
        <w:jc w:val="left"/>
        <w:rPr>
          <w:rFonts w:ascii="华文宋体" w:eastAsia="华文宋体" w:hAnsi="华文宋体" w:cs="Times New Roman"/>
          <w:szCs w:val="21"/>
        </w:rPr>
      </w:pPr>
      <w:r w:rsidRPr="008A7A56">
        <w:rPr>
          <w:rFonts w:ascii="华文宋体" w:eastAsia="华文宋体" w:hAnsi="华文宋体" w:cs="Times New Roman" w:hint="eastAsia"/>
          <w:szCs w:val="21"/>
        </w:rPr>
        <w:t>1.</w:t>
      </w:r>
      <w:r w:rsidRPr="008A7A56">
        <w:rPr>
          <w:rFonts w:ascii="华文宋体" w:eastAsia="华文宋体" w:hAnsi="华文宋体" w:cs="Times New Roman"/>
          <w:szCs w:val="21"/>
        </w:rPr>
        <w:t xml:space="preserve"> </w:t>
      </w:r>
      <w:r w:rsidRPr="008A7A56">
        <w:rPr>
          <w:rFonts w:ascii="华文宋体" w:eastAsia="华文宋体" w:hAnsi="华文宋体" w:cs="Times New Roman" w:hint="eastAsia"/>
          <w:szCs w:val="21"/>
        </w:rPr>
        <w:t>建议每个分组设置生物学重复</w:t>
      </w:r>
      <w:r w:rsidR="007C5A8C" w:rsidRPr="008A7A56">
        <w:rPr>
          <w:rFonts w:ascii="华文宋体" w:eastAsia="华文宋体" w:hAnsi="华文宋体" w:cs="Times New Roman" w:hint="eastAsia"/>
          <w:szCs w:val="21"/>
        </w:rPr>
        <w:t>≥5个</w:t>
      </w:r>
      <w:r w:rsidR="00E53087" w:rsidRPr="008A7A56">
        <w:rPr>
          <w:rFonts w:ascii="华文宋体" w:eastAsia="华文宋体" w:hAnsi="华文宋体" w:cs="Times New Roman" w:hint="eastAsia"/>
          <w:szCs w:val="21"/>
        </w:rPr>
        <w:t>，最少3个</w:t>
      </w:r>
      <w:r w:rsidRPr="008A7A56">
        <w:rPr>
          <w:rFonts w:ascii="华文宋体" w:eastAsia="华文宋体" w:hAnsi="华文宋体" w:cs="Times New Roman" w:hint="eastAsia"/>
          <w:szCs w:val="21"/>
        </w:rPr>
        <w:t>；</w:t>
      </w:r>
    </w:p>
    <w:p w14:paraId="1D496C8F" w14:textId="77777777" w:rsidR="00C66078" w:rsidRPr="008A7A56" w:rsidRDefault="00E7236D">
      <w:pPr>
        <w:jc w:val="left"/>
        <w:rPr>
          <w:rFonts w:ascii="华文宋体" w:eastAsia="华文宋体" w:hAnsi="华文宋体" w:cs="Times New Roman"/>
          <w:szCs w:val="21"/>
        </w:rPr>
      </w:pPr>
      <w:bookmarkStart w:id="0" w:name="_Hlk43392214"/>
      <w:r w:rsidRPr="008A7A56">
        <w:rPr>
          <w:rFonts w:ascii="华文宋体" w:eastAsia="华文宋体" w:hAnsi="华文宋体" w:cs="Times New Roman" w:hint="eastAsia"/>
          <w:szCs w:val="21"/>
        </w:rPr>
        <w:t>2.</w:t>
      </w:r>
      <w:r w:rsidRPr="008A7A56">
        <w:rPr>
          <w:rFonts w:ascii="华文宋体" w:eastAsia="华文宋体" w:hAnsi="华文宋体" w:cs="Times New Roman"/>
          <w:szCs w:val="21"/>
        </w:rPr>
        <w:t xml:space="preserve"> </w:t>
      </w:r>
      <w:r w:rsidRPr="008A7A56">
        <w:rPr>
          <w:rFonts w:ascii="华文宋体" w:eastAsia="华文宋体" w:hAnsi="华文宋体" w:cs="Times New Roman" w:hint="eastAsia"/>
          <w:szCs w:val="21"/>
        </w:rPr>
        <w:t>收集样品后需立即分装，避免反复冻融；</w:t>
      </w:r>
    </w:p>
    <w:p w14:paraId="24D65961" w14:textId="77777777" w:rsidR="00C66078" w:rsidRPr="008A7A56" w:rsidRDefault="00E7236D">
      <w:pPr>
        <w:jc w:val="left"/>
        <w:rPr>
          <w:rFonts w:ascii="华文宋体" w:eastAsia="华文宋体" w:hAnsi="华文宋体" w:cs="Times New Roman"/>
          <w:szCs w:val="21"/>
        </w:rPr>
      </w:pPr>
      <w:r w:rsidRPr="008A7A56">
        <w:rPr>
          <w:rFonts w:ascii="华文宋体" w:eastAsia="华文宋体" w:hAnsi="华文宋体" w:cs="Times New Roman" w:hint="eastAsia"/>
          <w:szCs w:val="21"/>
        </w:rPr>
        <w:t>3.</w:t>
      </w:r>
      <w:r w:rsidRPr="008A7A56">
        <w:rPr>
          <w:rFonts w:ascii="华文宋体" w:eastAsia="华文宋体" w:hAnsi="华文宋体" w:cs="Times New Roman"/>
          <w:szCs w:val="21"/>
        </w:rPr>
        <w:t xml:space="preserve"> </w:t>
      </w:r>
      <w:r w:rsidRPr="008A7A56">
        <w:rPr>
          <w:rFonts w:ascii="华文宋体" w:eastAsia="华文宋体" w:hAnsi="华文宋体" w:cs="Times New Roman" w:hint="eastAsia"/>
          <w:szCs w:val="21"/>
        </w:rPr>
        <w:t>组织样本在冻存前需用PBS清洗，去除表面的污染物。</w:t>
      </w:r>
    </w:p>
    <w:bookmarkEnd w:id="0"/>
    <w:p w14:paraId="4E2FB741" w14:textId="77777777" w:rsidR="00C66078" w:rsidRPr="008A7A56" w:rsidRDefault="00C66078">
      <w:pPr>
        <w:jc w:val="left"/>
        <w:rPr>
          <w:rFonts w:ascii="华文宋体" w:eastAsia="华文宋体" w:hAnsi="华文宋体" w:cs="Times New Roman"/>
          <w:szCs w:val="21"/>
        </w:rPr>
      </w:pPr>
    </w:p>
    <w:p w14:paraId="17960A5D" w14:textId="77777777" w:rsidR="00C66078" w:rsidRDefault="00E7236D">
      <w:pPr>
        <w:jc w:val="left"/>
        <w:rPr>
          <w:rFonts w:ascii="华文宋体" w:eastAsia="华文宋体" w:hAnsi="华文宋体" w:cs="Times New Roman"/>
          <w:b/>
          <w:bCs/>
          <w:szCs w:val="21"/>
        </w:rPr>
      </w:pPr>
      <w:r w:rsidRPr="008A7A56">
        <w:rPr>
          <w:rFonts w:ascii="华文宋体" w:eastAsia="华文宋体" w:hAnsi="华文宋体" w:cs="Times New Roman" w:hint="eastAsia"/>
          <w:b/>
          <w:bCs/>
          <w:szCs w:val="21"/>
        </w:rPr>
        <w:t>代谢组</w:t>
      </w:r>
    </w:p>
    <w:p w14:paraId="55F50DFE" w14:textId="77777777" w:rsidR="00C103D7" w:rsidRPr="008A7A56" w:rsidRDefault="00C103D7">
      <w:pPr>
        <w:jc w:val="left"/>
        <w:rPr>
          <w:rFonts w:ascii="华文宋体" w:eastAsia="华文宋体" w:hAnsi="华文宋体" w:cs="Times New Roman"/>
          <w:b/>
          <w:bCs/>
          <w:szCs w:val="21"/>
        </w:rPr>
      </w:pPr>
    </w:p>
    <w:p w14:paraId="4BF0620B" w14:textId="73C48502" w:rsidR="00E53087" w:rsidRPr="008A7A56" w:rsidRDefault="00660B9C">
      <w:pPr>
        <w:jc w:val="left"/>
        <w:rPr>
          <w:rFonts w:ascii="华文宋体" w:eastAsia="华文宋体" w:hAnsi="华文宋体" w:cs="Times New Roman"/>
          <w:szCs w:val="21"/>
        </w:rPr>
      </w:pPr>
      <w:r>
        <w:rPr>
          <w:rFonts w:ascii="华文宋体" w:eastAsia="华文宋体" w:hAnsi="华文宋体" w:cs="Times New Roman"/>
          <w:noProof/>
          <w:szCs w:val="21"/>
        </w:rPr>
        <w:drawing>
          <wp:inline distT="0" distB="0" distL="0" distR="0" wp14:anchorId="552F9E14" wp14:editId="7B864B8B">
            <wp:extent cx="5274310" cy="2577465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代谢组送样指南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E0F6B" w14:textId="77777777" w:rsidR="00C66078" w:rsidRPr="00DA2332" w:rsidRDefault="00E7236D">
      <w:pPr>
        <w:jc w:val="left"/>
        <w:rPr>
          <w:rFonts w:ascii="华文宋体" w:eastAsia="华文宋体" w:hAnsi="华文宋体" w:cs="Times New Roman"/>
          <w:b/>
          <w:szCs w:val="21"/>
        </w:rPr>
      </w:pPr>
      <w:r w:rsidRPr="00DA2332">
        <w:rPr>
          <w:rFonts w:ascii="华文宋体" w:eastAsia="华文宋体" w:hAnsi="华文宋体" w:cs="Times New Roman" w:hint="eastAsia"/>
          <w:b/>
          <w:szCs w:val="21"/>
        </w:rPr>
        <w:t>注意事项：</w:t>
      </w:r>
    </w:p>
    <w:p w14:paraId="4AD26A64" w14:textId="33178A67" w:rsidR="00C66078" w:rsidRPr="008A7A56" w:rsidRDefault="00E7236D">
      <w:pPr>
        <w:jc w:val="left"/>
        <w:rPr>
          <w:rFonts w:ascii="华文宋体" w:eastAsia="华文宋体" w:hAnsi="华文宋体" w:cs="Times New Roman"/>
          <w:szCs w:val="21"/>
        </w:rPr>
      </w:pPr>
      <w:r w:rsidRPr="008A7A56">
        <w:rPr>
          <w:rFonts w:ascii="华文宋体" w:eastAsia="华文宋体" w:hAnsi="华文宋体" w:cs="Times New Roman" w:hint="eastAsia"/>
          <w:szCs w:val="21"/>
        </w:rPr>
        <w:t>1. 建议植物样品</w:t>
      </w:r>
      <w:r w:rsidRPr="008A7A56">
        <w:rPr>
          <w:rFonts w:ascii="华文宋体" w:eastAsia="华文宋体" w:hAnsi="华文宋体" w:cs="Times New Roman"/>
          <w:szCs w:val="21"/>
        </w:rPr>
        <w:t>生物学重复</w:t>
      </w:r>
      <w:r w:rsidR="007C5A8C" w:rsidRPr="008A7A56">
        <w:rPr>
          <w:rFonts w:ascii="华文宋体" w:eastAsia="华文宋体" w:hAnsi="华文宋体" w:cs="Times New Roman" w:hint="eastAsia"/>
          <w:szCs w:val="21"/>
        </w:rPr>
        <w:t>≥8个</w:t>
      </w:r>
      <w:r w:rsidRPr="008A7A56">
        <w:rPr>
          <w:rFonts w:ascii="华文宋体" w:eastAsia="华文宋体" w:hAnsi="华文宋体" w:cs="Times New Roman"/>
          <w:szCs w:val="21"/>
        </w:rPr>
        <w:t>；模式动物及微生物</w:t>
      </w:r>
      <w:r w:rsidRPr="008A7A56">
        <w:rPr>
          <w:rFonts w:ascii="华文宋体" w:eastAsia="华文宋体" w:hAnsi="华文宋体" w:cs="Times New Roman" w:hint="eastAsia"/>
          <w:szCs w:val="21"/>
        </w:rPr>
        <w:t>样品</w:t>
      </w:r>
      <w:r w:rsidRPr="008A7A56">
        <w:rPr>
          <w:rFonts w:ascii="华文宋体" w:eastAsia="华文宋体" w:hAnsi="华文宋体" w:cs="Times New Roman"/>
          <w:szCs w:val="21"/>
        </w:rPr>
        <w:t>生物学重复</w:t>
      </w:r>
      <w:r w:rsidR="007C5A8C" w:rsidRPr="008A7A56">
        <w:rPr>
          <w:rFonts w:ascii="华文宋体" w:eastAsia="华文宋体" w:hAnsi="华文宋体" w:cs="Times New Roman" w:hint="eastAsia"/>
          <w:szCs w:val="21"/>
        </w:rPr>
        <w:t>≥10个</w:t>
      </w:r>
      <w:r w:rsidRPr="008A7A56">
        <w:rPr>
          <w:rFonts w:ascii="华文宋体" w:eastAsia="华文宋体" w:hAnsi="华文宋体" w:cs="Times New Roman" w:hint="eastAsia"/>
          <w:szCs w:val="21"/>
        </w:rPr>
        <w:t>；</w:t>
      </w:r>
    </w:p>
    <w:p w14:paraId="05485519" w14:textId="77777777" w:rsidR="00C66078" w:rsidRPr="008A7A56" w:rsidRDefault="00E7236D">
      <w:pPr>
        <w:jc w:val="left"/>
        <w:rPr>
          <w:rFonts w:ascii="华文宋体" w:eastAsia="华文宋体" w:hAnsi="华文宋体" w:cs="Times New Roman"/>
          <w:szCs w:val="21"/>
        </w:rPr>
      </w:pPr>
      <w:r w:rsidRPr="008A7A56">
        <w:rPr>
          <w:rFonts w:ascii="华文宋体" w:eastAsia="华文宋体" w:hAnsi="华文宋体" w:cs="Times New Roman"/>
          <w:szCs w:val="21"/>
        </w:rPr>
        <w:lastRenderedPageBreak/>
        <w:t>2. 收集样品后需立即分装，避免反复冻融；</w:t>
      </w:r>
    </w:p>
    <w:p w14:paraId="5A87901E" w14:textId="572DA877" w:rsidR="007205C3" w:rsidRDefault="00E7236D">
      <w:pPr>
        <w:jc w:val="left"/>
        <w:rPr>
          <w:rFonts w:ascii="华文宋体" w:eastAsia="华文宋体" w:hAnsi="华文宋体" w:cs="Times New Roman" w:hint="eastAsia"/>
          <w:szCs w:val="21"/>
        </w:rPr>
      </w:pPr>
      <w:r w:rsidRPr="008A7A56">
        <w:rPr>
          <w:rFonts w:ascii="华文宋体" w:eastAsia="华文宋体" w:hAnsi="华文宋体" w:cs="Times New Roman"/>
          <w:szCs w:val="21"/>
        </w:rPr>
        <w:t>3. 组织样本在冻存前需用PBS清洗，去除表面的污染物。</w:t>
      </w:r>
    </w:p>
    <w:p w14:paraId="09AD2CF3" w14:textId="77777777" w:rsidR="00DB696D" w:rsidRDefault="00DB696D">
      <w:pPr>
        <w:jc w:val="left"/>
        <w:rPr>
          <w:rFonts w:ascii="华文宋体" w:eastAsia="华文宋体" w:hAnsi="华文宋体" w:cs="Times New Roman" w:hint="eastAsia"/>
          <w:szCs w:val="21"/>
        </w:rPr>
      </w:pPr>
    </w:p>
    <w:p w14:paraId="53A21016" w14:textId="77777777" w:rsidR="00DB696D" w:rsidRPr="008A7A56" w:rsidRDefault="00DB696D">
      <w:pPr>
        <w:jc w:val="left"/>
        <w:rPr>
          <w:rFonts w:ascii="华文宋体" w:eastAsia="华文宋体" w:hAnsi="华文宋体" w:cs="Times New Roman"/>
          <w:szCs w:val="21"/>
        </w:rPr>
      </w:pPr>
      <w:bookmarkStart w:id="1" w:name="_GoBack"/>
      <w:bookmarkEnd w:id="1"/>
    </w:p>
    <w:p w14:paraId="5285196F" w14:textId="6EA1F40D" w:rsidR="00C66078" w:rsidRPr="00FF3159" w:rsidRDefault="00C103D7">
      <w:pPr>
        <w:jc w:val="left"/>
        <w:rPr>
          <w:rFonts w:ascii="华文宋体" w:eastAsia="华文宋体" w:hAnsi="华文宋体" w:cs="Times New Roman"/>
          <w:b/>
          <w:color w:val="FF0000"/>
          <w:szCs w:val="21"/>
        </w:rPr>
      </w:pPr>
      <w:r>
        <w:rPr>
          <w:rFonts w:ascii="华文宋体" w:eastAsia="华文宋体" w:hAnsi="华文宋体" w:cs="Times New Roman" w:hint="eastAsia"/>
          <w:b/>
          <w:color w:val="FF0000"/>
          <w:szCs w:val="21"/>
        </w:rPr>
        <w:t xml:space="preserve">二、 </w:t>
      </w:r>
      <w:r w:rsidR="00B7493E">
        <w:rPr>
          <w:rFonts w:ascii="华文宋体" w:eastAsia="华文宋体" w:hAnsi="华文宋体" w:cs="Times New Roman" w:hint="eastAsia"/>
          <w:b/>
          <w:color w:val="FF0000"/>
          <w:szCs w:val="21"/>
        </w:rPr>
        <w:t>部分检测项目和技术方案</w:t>
      </w:r>
    </w:p>
    <w:p w14:paraId="672A207A" w14:textId="77777777" w:rsidR="005265E1" w:rsidRPr="008A7A56" w:rsidRDefault="005265E1">
      <w:pPr>
        <w:jc w:val="left"/>
        <w:rPr>
          <w:rFonts w:ascii="华文宋体" w:eastAsia="华文宋体" w:hAnsi="华文宋体" w:cs="Times New Roman"/>
          <w:szCs w:val="21"/>
        </w:rPr>
      </w:pPr>
    </w:p>
    <w:tbl>
      <w:tblPr>
        <w:tblStyle w:val="-2"/>
        <w:tblW w:w="0" w:type="auto"/>
        <w:tblLook w:val="04A0" w:firstRow="1" w:lastRow="0" w:firstColumn="1" w:lastColumn="0" w:noHBand="0" w:noVBand="1"/>
      </w:tblPr>
      <w:tblGrid>
        <w:gridCol w:w="1195"/>
        <w:gridCol w:w="7327"/>
      </w:tblGrid>
      <w:tr w:rsidR="005265E1" w:rsidRPr="008A7A56" w14:paraId="48E2FF52" w14:textId="77777777" w:rsidTr="00091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EDB8F44" w14:textId="77777777" w:rsidR="005265E1" w:rsidRPr="008A7A56" w:rsidRDefault="005265E1" w:rsidP="00091299">
            <w:pPr>
              <w:widowControl/>
              <w:rPr>
                <w:rFonts w:ascii="华文宋体" w:eastAsia="华文宋体" w:hAnsi="华文宋体" w:cs="Times New Roman"/>
                <w:b w:val="0"/>
                <w:bCs w:val="0"/>
                <w:color w:val="0000FF"/>
                <w:kern w:val="24"/>
                <w:szCs w:val="21"/>
              </w:rPr>
            </w:pPr>
            <w:r w:rsidRPr="008A7A56">
              <w:rPr>
                <w:rFonts w:ascii="华文宋体" w:eastAsia="华文宋体" w:hAnsi="华文宋体" w:cs="Times New Roman" w:hint="eastAsia"/>
                <w:color w:val="0000FF"/>
                <w:kern w:val="24"/>
                <w:szCs w:val="21"/>
              </w:rPr>
              <w:t>检测项目</w:t>
            </w:r>
          </w:p>
        </w:tc>
        <w:tc>
          <w:tcPr>
            <w:tcW w:w="0" w:type="auto"/>
            <w:vAlign w:val="center"/>
          </w:tcPr>
          <w:p w14:paraId="48142BD9" w14:textId="77777777" w:rsidR="005265E1" w:rsidRPr="008A7A56" w:rsidRDefault="005265E1" w:rsidP="00091299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华文宋体" w:eastAsia="华文宋体" w:hAnsi="华文宋体" w:cs="Times New Roman"/>
                <w:color w:val="0000FF"/>
                <w:kern w:val="24"/>
                <w:szCs w:val="21"/>
              </w:rPr>
            </w:pPr>
            <w:r w:rsidRPr="008A7A56">
              <w:rPr>
                <w:rFonts w:ascii="华文宋体" w:eastAsia="华文宋体" w:hAnsi="华文宋体" w:cs="Times New Roman" w:hint="eastAsia"/>
                <w:color w:val="0000FF"/>
                <w:kern w:val="24"/>
                <w:szCs w:val="21"/>
              </w:rPr>
              <w:t>研究方案及具体应用</w:t>
            </w:r>
          </w:p>
        </w:tc>
      </w:tr>
      <w:tr w:rsidR="005265E1" w:rsidRPr="008A7A56" w14:paraId="263E1171" w14:textId="77777777" w:rsidTr="00091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769BE50" w14:textId="77777777" w:rsidR="005265E1" w:rsidRPr="008A7A56" w:rsidRDefault="005265E1" w:rsidP="00091299">
            <w:pPr>
              <w:widowControl/>
              <w:rPr>
                <w:rFonts w:ascii="华文宋体" w:eastAsia="华文宋体" w:hAnsi="华文宋体" w:cs="Times New Roman"/>
                <w:b w:val="0"/>
                <w:bCs w:val="0"/>
                <w:color w:val="000000" w:themeColor="text1"/>
                <w:kern w:val="24"/>
                <w:szCs w:val="21"/>
              </w:rPr>
            </w:pPr>
            <w:r w:rsidRPr="008A7A56">
              <w:rPr>
                <w:rFonts w:ascii="华文宋体" w:eastAsia="华文宋体" w:hAnsi="华文宋体" w:cs="Times New Roman" w:hint="eastAsia"/>
                <w:color w:val="000000" w:themeColor="text1"/>
                <w:kern w:val="24"/>
                <w:szCs w:val="21"/>
              </w:rPr>
              <w:t>定性蛋白质组学</w:t>
            </w:r>
          </w:p>
        </w:tc>
        <w:tc>
          <w:tcPr>
            <w:tcW w:w="0" w:type="auto"/>
            <w:vAlign w:val="center"/>
          </w:tcPr>
          <w:p w14:paraId="3EB6CE84" w14:textId="77777777" w:rsidR="005265E1" w:rsidRPr="00312FEB" w:rsidRDefault="005265E1" w:rsidP="0009129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仿宋" w:eastAsia="华文仿宋" w:hAnsi="华文仿宋" w:cs="Arial"/>
                <w:kern w:val="0"/>
                <w:sz w:val="18"/>
                <w:szCs w:val="18"/>
              </w:rPr>
            </w:pP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sym w:font="Wingdings" w:char="F08C"/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蛋白分子量测定：采用</w:t>
            </w:r>
            <w:r w:rsidRPr="00312FEB">
              <w:rPr>
                <w:rFonts w:ascii="华文仿宋" w:eastAsia="华文仿宋" w:hAnsi="华文仿宋" w:cs="Times New Roman"/>
                <w:color w:val="000000" w:themeColor="dark1"/>
                <w:kern w:val="24"/>
                <w:sz w:val="18"/>
                <w:szCs w:val="18"/>
              </w:rPr>
              <w:t>MALDI-TOF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质谱仪，分析目标蛋白或多肽的分子量，检测蛋白二聚体，以及对样品纯度进行评估；</w:t>
            </w:r>
          </w:p>
          <w:p w14:paraId="061D746D" w14:textId="77777777" w:rsidR="005265E1" w:rsidRPr="00312FEB" w:rsidRDefault="005265E1" w:rsidP="0009129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仿宋" w:eastAsia="华文仿宋" w:hAnsi="华文仿宋" w:cs="Arial"/>
                <w:kern w:val="0"/>
                <w:sz w:val="18"/>
                <w:szCs w:val="18"/>
              </w:rPr>
            </w:pP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sym w:font="Wingdings" w:char="F08D"/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蛋白胶条、</w:t>
            </w:r>
            <w:r w:rsidRPr="00312FEB">
              <w:rPr>
                <w:rFonts w:ascii="华文仿宋" w:eastAsia="华文仿宋" w:hAnsi="华文仿宋" w:cs="Times New Roman"/>
                <w:color w:val="000000" w:themeColor="dark1"/>
                <w:kern w:val="24"/>
                <w:sz w:val="18"/>
                <w:szCs w:val="18"/>
              </w:rPr>
              <w:t>IP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、</w:t>
            </w:r>
            <w:r w:rsidRPr="00312FEB">
              <w:rPr>
                <w:rFonts w:ascii="华文仿宋" w:eastAsia="华文仿宋" w:hAnsi="华文仿宋" w:cs="Times New Roman"/>
                <w:color w:val="000000" w:themeColor="dark1"/>
                <w:kern w:val="24"/>
                <w:sz w:val="18"/>
                <w:szCs w:val="18"/>
              </w:rPr>
              <w:t>Co-IP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、</w:t>
            </w:r>
            <w:r w:rsidRPr="00312FEB">
              <w:rPr>
                <w:rFonts w:ascii="华文仿宋" w:eastAsia="华文仿宋" w:hAnsi="华文仿宋" w:cs="Times New Roman"/>
                <w:color w:val="000000" w:themeColor="dark1"/>
                <w:kern w:val="24"/>
                <w:sz w:val="18"/>
                <w:szCs w:val="18"/>
              </w:rPr>
              <w:t>Pull-down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纯化溶液等简单</w:t>
            </w:r>
            <w:r w:rsidRPr="00312FEB">
              <w:rPr>
                <w:rFonts w:ascii="华文仿宋" w:eastAsia="华文仿宋" w:hAnsi="华文仿宋" w:cs="Times New Roman"/>
                <w:color w:val="000000" w:themeColor="dark1"/>
                <w:kern w:val="24"/>
                <w:sz w:val="18"/>
                <w:szCs w:val="18"/>
              </w:rPr>
              <w:t>/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复杂样本蛋白质鉴定：利用</w:t>
            </w:r>
            <w:r w:rsidRPr="00312FEB">
              <w:rPr>
                <w:rFonts w:ascii="华文仿宋" w:eastAsia="华文仿宋" w:hAnsi="华文仿宋" w:cs="Times New Roman"/>
                <w:color w:val="000000" w:themeColor="dark1"/>
                <w:kern w:val="24"/>
                <w:sz w:val="18"/>
                <w:szCs w:val="18"/>
              </w:rPr>
              <w:t>LC-MS/MS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技术对蛋白条带或溶液酶切成的多肽进行分析，根据二级质谱信息与相应的数据库比对，从而实现对蛋白质的鉴定；</w:t>
            </w:r>
          </w:p>
          <w:p w14:paraId="33081E3D" w14:textId="77777777" w:rsidR="005265E1" w:rsidRPr="00312FEB" w:rsidRDefault="005265E1" w:rsidP="0009129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仿宋" w:eastAsia="华文仿宋" w:hAnsi="华文仿宋" w:cs="Arial"/>
                <w:kern w:val="0"/>
                <w:sz w:val="18"/>
                <w:szCs w:val="18"/>
              </w:rPr>
            </w:pP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sym w:font="Wingdings" w:char="F08E"/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修饰蛋白定性分析：蛋白质修饰位点鉴定和蛋白质修饰谱分析；</w:t>
            </w:r>
          </w:p>
          <w:p w14:paraId="597CDD2E" w14:textId="77777777" w:rsidR="005265E1" w:rsidRPr="00312FEB" w:rsidRDefault="005265E1" w:rsidP="0009129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仿宋" w:eastAsia="华文仿宋" w:hAnsi="华文仿宋" w:cs="Times New Roman"/>
                <w:color w:val="000000" w:themeColor="dark1"/>
                <w:kern w:val="24"/>
                <w:sz w:val="18"/>
                <w:szCs w:val="18"/>
              </w:rPr>
            </w:pP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sym w:font="Wingdings" w:char="F08F"/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多肽质谱鉴定：对多肽序列信息进行检测，从而获得多肽的序列或翻译后修饰信息。</w:t>
            </w:r>
          </w:p>
        </w:tc>
      </w:tr>
      <w:tr w:rsidR="005265E1" w:rsidRPr="008A7A56" w14:paraId="0CF86968" w14:textId="77777777" w:rsidTr="000912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62FECD3" w14:textId="77777777" w:rsidR="005265E1" w:rsidRPr="008A7A56" w:rsidRDefault="005265E1" w:rsidP="00091299">
            <w:pPr>
              <w:widowControl/>
              <w:rPr>
                <w:rFonts w:ascii="华文宋体" w:eastAsia="华文宋体" w:hAnsi="华文宋体" w:cs="Arial"/>
                <w:kern w:val="0"/>
                <w:szCs w:val="21"/>
              </w:rPr>
            </w:pPr>
            <w:r w:rsidRPr="008A7A56">
              <w:rPr>
                <w:rFonts w:ascii="华文宋体" w:eastAsia="华文宋体" w:hAnsi="华文宋体" w:cs="Times New Roman" w:hint="eastAsia"/>
                <w:color w:val="000000" w:themeColor="text1"/>
                <w:kern w:val="24"/>
                <w:szCs w:val="21"/>
              </w:rPr>
              <w:t>定量蛋白质组学</w:t>
            </w:r>
          </w:p>
        </w:tc>
        <w:tc>
          <w:tcPr>
            <w:tcW w:w="0" w:type="auto"/>
            <w:vAlign w:val="center"/>
          </w:tcPr>
          <w:p w14:paraId="679D2D25" w14:textId="77777777" w:rsidR="005265E1" w:rsidRPr="00312FEB" w:rsidRDefault="005265E1" w:rsidP="00091299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华文仿宋" w:eastAsia="华文仿宋" w:hAnsi="华文仿宋" w:cs="Arial"/>
                <w:kern w:val="0"/>
                <w:sz w:val="18"/>
                <w:szCs w:val="18"/>
              </w:rPr>
            </w:pP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sym w:font="Wingdings" w:char="F08C"/>
            </w:r>
            <w:r w:rsidRPr="00312FEB">
              <w:rPr>
                <w:rFonts w:ascii="华文仿宋" w:eastAsia="华文仿宋" w:hAnsi="华文仿宋" w:cs="Times New Roman"/>
                <w:color w:val="000000" w:themeColor="dark1"/>
                <w:kern w:val="24"/>
                <w:sz w:val="18"/>
                <w:szCs w:val="18"/>
              </w:rPr>
              <w:t>Label-free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通过</w:t>
            </w:r>
            <w:r w:rsidRPr="00312FEB">
              <w:rPr>
                <w:rFonts w:ascii="华文仿宋" w:eastAsia="华文仿宋" w:hAnsi="华文仿宋" w:cs="Times New Roman"/>
                <w:color w:val="000000" w:themeColor="dark1"/>
                <w:kern w:val="24"/>
                <w:sz w:val="18"/>
                <w:szCs w:val="18"/>
              </w:rPr>
              <w:t>LC-MS/MS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技术对蛋白质酶解肽段进行质谱分析，根据质谱数据比较不同样本间相应肽段的信号强度或谱图数，从而对肽段对应的蛋白质进行相对定量；</w:t>
            </w:r>
          </w:p>
          <w:p w14:paraId="13D9E41F" w14:textId="77777777" w:rsidR="005265E1" w:rsidRPr="00312FEB" w:rsidRDefault="005265E1" w:rsidP="00091299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华文仿宋" w:eastAsia="华文仿宋" w:hAnsi="华文仿宋" w:cs="Arial"/>
                <w:kern w:val="0"/>
                <w:sz w:val="18"/>
                <w:szCs w:val="18"/>
              </w:rPr>
            </w:pP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sym w:font="Wingdings" w:char="F08D"/>
            </w:r>
            <w:r w:rsidRPr="00312FEB">
              <w:rPr>
                <w:rFonts w:ascii="华文仿宋" w:eastAsia="华文仿宋" w:hAnsi="华文仿宋" w:cs="Times New Roman"/>
                <w:color w:val="000000" w:themeColor="dark1"/>
                <w:kern w:val="24"/>
                <w:sz w:val="18"/>
                <w:szCs w:val="18"/>
              </w:rPr>
              <w:t>DIA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将整个质谱扫描质量范围分为若干个窗口，超高分辨质谱快速对每个窗口中的所有母离子进行扫描，从而无遗漏、无差异地获得样本中所有离子的全部碎片信息；</w:t>
            </w:r>
          </w:p>
          <w:p w14:paraId="29114085" w14:textId="77777777" w:rsidR="005265E1" w:rsidRPr="00312FEB" w:rsidRDefault="005265E1" w:rsidP="00091299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华文仿宋" w:eastAsia="华文仿宋" w:hAnsi="华文仿宋" w:cs="Arial"/>
                <w:kern w:val="0"/>
                <w:sz w:val="18"/>
                <w:szCs w:val="18"/>
              </w:rPr>
            </w:pP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sym w:font="Wingdings" w:char="F08E"/>
            </w:r>
            <w:proofErr w:type="spellStart"/>
            <w:r w:rsidRPr="00312FEB">
              <w:rPr>
                <w:rFonts w:ascii="华文仿宋" w:eastAsia="华文仿宋" w:hAnsi="华文仿宋" w:cs="Times New Roman"/>
                <w:color w:val="000000" w:themeColor="dark1"/>
                <w:kern w:val="24"/>
                <w:sz w:val="18"/>
                <w:szCs w:val="18"/>
              </w:rPr>
              <w:t>iTRAQ</w:t>
            </w:r>
            <w:proofErr w:type="spellEnd"/>
            <w:r w:rsidRPr="00312FEB">
              <w:rPr>
                <w:rFonts w:ascii="华文仿宋" w:eastAsia="华文仿宋" w:hAnsi="华文仿宋" w:cs="Times New Roman"/>
                <w:color w:val="000000" w:themeColor="dark1"/>
                <w:kern w:val="24"/>
                <w:sz w:val="18"/>
                <w:szCs w:val="18"/>
              </w:rPr>
              <w:t>/TMT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采用同位素标签，通过特异性标记多肽的氨基基团，进行串联质谱分析，比较样品间蛋白质的相对含量差异；</w:t>
            </w:r>
          </w:p>
          <w:p w14:paraId="15E4FE31" w14:textId="77777777" w:rsidR="005265E1" w:rsidRPr="00312FEB" w:rsidRDefault="005265E1" w:rsidP="00091299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华文仿宋" w:eastAsia="华文仿宋" w:hAnsi="华文仿宋" w:cs="Arial"/>
                <w:kern w:val="0"/>
                <w:sz w:val="18"/>
                <w:szCs w:val="18"/>
              </w:rPr>
            </w:pP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sym w:font="Wingdings" w:char="F08F"/>
            </w:r>
            <w:r w:rsidRPr="00312FEB">
              <w:rPr>
                <w:rFonts w:ascii="华文仿宋" w:eastAsia="华文仿宋" w:hAnsi="华文仿宋" w:cs="Times New Roman"/>
                <w:color w:val="000000" w:themeColor="dark1"/>
                <w:kern w:val="24"/>
                <w:sz w:val="18"/>
                <w:szCs w:val="18"/>
              </w:rPr>
              <w:t>PRM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基于高分辨、高精度质谱的离子监视技术，可实现目标肽段的靶向筛选，采集所有子离子信息，从而对目标蛋白</w:t>
            </w:r>
            <w:r w:rsidRPr="00312FEB">
              <w:rPr>
                <w:rFonts w:ascii="华文仿宋" w:eastAsia="华文仿宋" w:hAnsi="华文仿宋" w:cs="Times New Roman"/>
                <w:color w:val="000000" w:themeColor="dark1"/>
                <w:kern w:val="24"/>
                <w:sz w:val="18"/>
                <w:szCs w:val="18"/>
              </w:rPr>
              <w:t>/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肽段进行相对</w:t>
            </w:r>
            <w:r w:rsidRPr="00312FEB">
              <w:rPr>
                <w:rFonts w:ascii="华文仿宋" w:eastAsia="华文仿宋" w:hAnsi="华文仿宋" w:cs="Times New Roman"/>
                <w:color w:val="000000" w:themeColor="dark1"/>
                <w:kern w:val="24"/>
                <w:sz w:val="18"/>
                <w:szCs w:val="18"/>
              </w:rPr>
              <w:t>/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绝对定量。</w:t>
            </w:r>
          </w:p>
        </w:tc>
      </w:tr>
      <w:tr w:rsidR="005265E1" w:rsidRPr="008A7A56" w14:paraId="501959EA" w14:textId="77777777" w:rsidTr="00091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0F078D3" w14:textId="77777777" w:rsidR="005265E1" w:rsidRPr="008A7A56" w:rsidRDefault="005265E1" w:rsidP="00091299">
            <w:pPr>
              <w:widowControl/>
              <w:rPr>
                <w:rFonts w:ascii="华文宋体" w:eastAsia="华文宋体" w:hAnsi="华文宋体" w:cs="Arial"/>
                <w:kern w:val="0"/>
                <w:szCs w:val="21"/>
              </w:rPr>
            </w:pPr>
            <w:r w:rsidRPr="008A7A56">
              <w:rPr>
                <w:rFonts w:ascii="华文宋体" w:eastAsia="华文宋体" w:hAnsi="华文宋体" w:cs="Times New Roman" w:hint="eastAsia"/>
                <w:color w:val="000000" w:themeColor="text1"/>
                <w:kern w:val="24"/>
                <w:szCs w:val="21"/>
              </w:rPr>
              <w:t>修饰蛋白质组学</w:t>
            </w:r>
          </w:p>
        </w:tc>
        <w:tc>
          <w:tcPr>
            <w:tcW w:w="0" w:type="auto"/>
            <w:vAlign w:val="center"/>
          </w:tcPr>
          <w:p w14:paraId="1457F96B" w14:textId="77777777" w:rsidR="005265E1" w:rsidRPr="00312FEB" w:rsidRDefault="005265E1" w:rsidP="0009129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仿宋" w:eastAsia="华文仿宋" w:hAnsi="华文仿宋" w:cs="Arial"/>
                <w:kern w:val="0"/>
                <w:sz w:val="18"/>
                <w:szCs w:val="18"/>
              </w:rPr>
            </w:pP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sym w:font="Wingdings" w:char="F08C"/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磷酸化：蛋白质发生磷酸化修饰后其分子量会发生相应的改变，质谱能够精确测定蛋白质或多肽的分子质量，因此质谱已成为蛋白质磷酸化分析最有力的方法之一，常用的磷酸化蛋白质富集方法为</w:t>
            </w:r>
            <w:r w:rsidRPr="00312FEB">
              <w:rPr>
                <w:rFonts w:ascii="华文仿宋" w:eastAsia="华文仿宋" w:hAnsi="华文仿宋" w:cs="Times New Roman"/>
                <w:color w:val="000000" w:themeColor="dark1"/>
                <w:kern w:val="24"/>
                <w:sz w:val="18"/>
                <w:szCs w:val="18"/>
              </w:rPr>
              <w:t>Ti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O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  <w:vertAlign w:val="subscript"/>
              </w:rPr>
              <w:t>2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或</w:t>
            </w:r>
            <w:r w:rsidRPr="00312FEB">
              <w:rPr>
                <w:rFonts w:ascii="华文仿宋" w:eastAsia="华文仿宋" w:hAnsi="华文仿宋" w:cs="Times New Roman"/>
                <w:color w:val="000000" w:themeColor="dark1"/>
                <w:kern w:val="24"/>
                <w:sz w:val="18"/>
                <w:szCs w:val="18"/>
              </w:rPr>
              <w:t>IMAC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法；</w:t>
            </w:r>
          </w:p>
          <w:p w14:paraId="0E082B48" w14:textId="77777777" w:rsidR="005265E1" w:rsidRPr="00312FEB" w:rsidRDefault="005265E1" w:rsidP="0009129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仿宋" w:eastAsia="华文仿宋" w:hAnsi="华文仿宋" w:cs="Arial"/>
                <w:kern w:val="0"/>
                <w:sz w:val="18"/>
                <w:szCs w:val="18"/>
              </w:rPr>
            </w:pP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sym w:font="Wingdings" w:char="F08D"/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乙酰化：通过抗体对乙酰化肽段进行富集，进行质谱检测，从而对乙酰化蛋白实现定性定量分析；</w:t>
            </w:r>
          </w:p>
          <w:p w14:paraId="6A711F7A" w14:textId="77777777" w:rsidR="005265E1" w:rsidRPr="00312FEB" w:rsidRDefault="005265E1" w:rsidP="0009129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仿宋" w:eastAsia="华文仿宋" w:hAnsi="华文仿宋" w:cs="Arial"/>
                <w:kern w:val="0"/>
                <w:sz w:val="18"/>
                <w:szCs w:val="18"/>
              </w:rPr>
            </w:pP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sym w:font="Wingdings" w:char="F08E"/>
            </w:r>
            <w:proofErr w:type="gramStart"/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泛素化</w:t>
            </w:r>
            <w:proofErr w:type="gramEnd"/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：通过抗体对</w:t>
            </w:r>
            <w:proofErr w:type="gramStart"/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泛素化肽</w:t>
            </w:r>
            <w:proofErr w:type="gramEnd"/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段进行富集，进行质谱检测，从而对</w:t>
            </w:r>
            <w:proofErr w:type="gramStart"/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泛素化</w:t>
            </w:r>
            <w:proofErr w:type="gramEnd"/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蛋白实现定性定量分析；</w:t>
            </w:r>
          </w:p>
          <w:p w14:paraId="10D17F9D" w14:textId="77777777" w:rsidR="005265E1" w:rsidRPr="00312FEB" w:rsidRDefault="005265E1" w:rsidP="0009129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仿宋" w:eastAsia="华文仿宋" w:hAnsi="华文仿宋" w:cs="Arial"/>
                <w:kern w:val="0"/>
                <w:sz w:val="18"/>
                <w:szCs w:val="18"/>
              </w:rPr>
            </w:pP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sym w:font="Wingdings" w:char="F08F"/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糖基化：通过对糖基化肽段进行富集，进行质谱检测，从而对蛋白糖基化修饰位点进行鉴定。</w:t>
            </w:r>
          </w:p>
        </w:tc>
      </w:tr>
      <w:tr w:rsidR="005265E1" w:rsidRPr="008A7A56" w14:paraId="50645D80" w14:textId="77777777" w:rsidTr="000912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79B4277" w14:textId="77777777" w:rsidR="005265E1" w:rsidRPr="008A7A56" w:rsidRDefault="005265E1" w:rsidP="00091299">
            <w:pPr>
              <w:widowControl/>
              <w:rPr>
                <w:rFonts w:ascii="华文宋体" w:eastAsia="华文宋体" w:hAnsi="华文宋体" w:cs="Arial"/>
                <w:kern w:val="0"/>
                <w:szCs w:val="21"/>
              </w:rPr>
            </w:pPr>
            <w:r w:rsidRPr="008A7A56">
              <w:rPr>
                <w:rFonts w:ascii="华文宋体" w:eastAsia="华文宋体" w:hAnsi="华文宋体" w:cs="Times New Roman" w:hint="eastAsia"/>
                <w:color w:val="000000" w:themeColor="text1"/>
                <w:kern w:val="24"/>
                <w:szCs w:val="21"/>
              </w:rPr>
              <w:t>蛋白全长测序</w:t>
            </w:r>
          </w:p>
        </w:tc>
        <w:tc>
          <w:tcPr>
            <w:tcW w:w="0" w:type="auto"/>
            <w:vAlign w:val="center"/>
          </w:tcPr>
          <w:p w14:paraId="1A51D4FB" w14:textId="77777777" w:rsidR="005265E1" w:rsidRPr="00312FEB" w:rsidRDefault="005265E1" w:rsidP="00091299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华文仿宋" w:eastAsia="华文仿宋" w:hAnsi="华文仿宋" w:cs="Arial"/>
                <w:kern w:val="0"/>
                <w:sz w:val="18"/>
                <w:szCs w:val="18"/>
              </w:rPr>
            </w:pPr>
            <w:r w:rsidRPr="00312FEB">
              <w:rPr>
                <w:rFonts w:ascii="华文仿宋" w:eastAsia="华文仿宋" w:hAnsi="华文仿宋" w:cs="Times New Roman" w:hint="eastAsia"/>
                <w:b/>
                <w:color w:val="000000" w:themeColor="text1"/>
                <w:kern w:val="24"/>
                <w:sz w:val="18"/>
                <w:szCs w:val="18"/>
              </w:rPr>
              <w:t>对于未知序列的功能蛋白或酶进行全序列从头测序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text1"/>
                <w:kern w:val="24"/>
                <w:sz w:val="18"/>
                <w:szCs w:val="18"/>
              </w:rPr>
              <w:t>：选用在蛋白鉴定过程中常用的</w:t>
            </w:r>
            <w:r w:rsidRPr="00312FEB">
              <w:rPr>
                <w:rFonts w:ascii="华文仿宋" w:eastAsia="华文仿宋" w:hAnsi="华文仿宋" w:cs="Times New Roman"/>
                <w:color w:val="000000" w:themeColor="text1"/>
                <w:kern w:val="24"/>
                <w:sz w:val="18"/>
                <w:szCs w:val="18"/>
              </w:rPr>
              <w:t>6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text1"/>
                <w:kern w:val="24"/>
                <w:sz w:val="18"/>
                <w:szCs w:val="18"/>
              </w:rPr>
              <w:t>种蛋白酶（</w:t>
            </w:r>
            <w:r w:rsidRPr="00312FEB">
              <w:rPr>
                <w:rFonts w:ascii="华文仿宋" w:eastAsia="华文仿宋" w:hAnsi="华文仿宋" w:cs="Times New Roman"/>
                <w:color w:val="000000" w:themeColor="text1"/>
                <w:kern w:val="24"/>
                <w:sz w:val="18"/>
                <w:szCs w:val="18"/>
              </w:rPr>
              <w:t>Trypsin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text1"/>
                <w:kern w:val="24"/>
                <w:sz w:val="18"/>
                <w:szCs w:val="18"/>
              </w:rPr>
              <w:t>、</w:t>
            </w:r>
            <w:r w:rsidRPr="00312FEB">
              <w:rPr>
                <w:rFonts w:ascii="华文仿宋" w:eastAsia="华文仿宋" w:hAnsi="华文仿宋" w:cs="Times New Roman"/>
                <w:color w:val="000000" w:themeColor="text1"/>
                <w:kern w:val="24"/>
                <w:sz w:val="18"/>
                <w:szCs w:val="18"/>
              </w:rPr>
              <w:t>Chymotrypsin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text1"/>
                <w:kern w:val="24"/>
                <w:sz w:val="18"/>
                <w:szCs w:val="18"/>
              </w:rPr>
              <w:t>、</w:t>
            </w:r>
            <w:r w:rsidRPr="00312FEB">
              <w:rPr>
                <w:rFonts w:ascii="华文仿宋" w:eastAsia="华文仿宋" w:hAnsi="华文仿宋" w:cs="Times New Roman"/>
                <w:color w:val="000000" w:themeColor="text1"/>
                <w:kern w:val="24"/>
                <w:sz w:val="18"/>
                <w:szCs w:val="18"/>
              </w:rPr>
              <w:t>Asp-N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text1"/>
                <w:kern w:val="24"/>
                <w:sz w:val="18"/>
                <w:szCs w:val="18"/>
              </w:rPr>
              <w:t>、</w:t>
            </w:r>
            <w:proofErr w:type="spellStart"/>
            <w:r w:rsidRPr="00312FEB">
              <w:rPr>
                <w:rFonts w:ascii="华文仿宋" w:eastAsia="华文仿宋" w:hAnsi="华文仿宋" w:cs="Times New Roman"/>
                <w:color w:val="000000" w:themeColor="text1"/>
                <w:kern w:val="24"/>
                <w:sz w:val="18"/>
                <w:szCs w:val="18"/>
              </w:rPr>
              <w:t>Glu</w:t>
            </w:r>
            <w:proofErr w:type="spellEnd"/>
            <w:r w:rsidRPr="00312FEB">
              <w:rPr>
                <w:rFonts w:ascii="华文仿宋" w:eastAsia="华文仿宋" w:hAnsi="华文仿宋" w:cs="Times New Roman"/>
                <w:color w:val="000000" w:themeColor="text1"/>
                <w:kern w:val="24"/>
                <w:sz w:val="18"/>
                <w:szCs w:val="18"/>
              </w:rPr>
              <w:t>-C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text1"/>
                <w:kern w:val="24"/>
                <w:sz w:val="18"/>
                <w:szCs w:val="18"/>
              </w:rPr>
              <w:t>、</w:t>
            </w:r>
            <w:r w:rsidRPr="00312FEB">
              <w:rPr>
                <w:rFonts w:ascii="华文仿宋" w:eastAsia="华文仿宋" w:hAnsi="华文仿宋" w:cs="Times New Roman"/>
                <w:color w:val="000000" w:themeColor="text1"/>
                <w:kern w:val="24"/>
                <w:sz w:val="18"/>
                <w:szCs w:val="18"/>
              </w:rPr>
              <w:t>Lys-C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text1"/>
                <w:kern w:val="24"/>
                <w:sz w:val="18"/>
                <w:szCs w:val="18"/>
              </w:rPr>
              <w:t>和</w:t>
            </w:r>
            <w:r w:rsidRPr="00312FEB">
              <w:rPr>
                <w:rFonts w:ascii="华文仿宋" w:eastAsia="华文仿宋" w:hAnsi="华文仿宋" w:cs="Times New Roman"/>
                <w:color w:val="000000" w:themeColor="text1"/>
                <w:kern w:val="24"/>
                <w:sz w:val="18"/>
                <w:szCs w:val="18"/>
              </w:rPr>
              <w:t>Lys-N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text1"/>
                <w:kern w:val="24"/>
                <w:sz w:val="18"/>
                <w:szCs w:val="18"/>
              </w:rPr>
              <w:t>）分别对目标蛋白进行酶切和鉴定，在得到碎裂肽段片段的同时，经过肽段之间的拼接完成蛋白序列的测定。</w:t>
            </w:r>
          </w:p>
        </w:tc>
      </w:tr>
      <w:tr w:rsidR="005265E1" w:rsidRPr="008A7A56" w14:paraId="3774EE0A" w14:textId="77777777" w:rsidTr="00091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563D9CF" w14:textId="77777777" w:rsidR="005265E1" w:rsidRPr="008A7A56" w:rsidRDefault="005265E1" w:rsidP="00091299">
            <w:pPr>
              <w:widowControl/>
              <w:rPr>
                <w:rFonts w:ascii="华文宋体" w:eastAsia="华文宋体" w:hAnsi="华文宋体" w:cs="Times New Roman"/>
                <w:b w:val="0"/>
                <w:bCs w:val="0"/>
                <w:color w:val="000000" w:themeColor="text1"/>
                <w:kern w:val="24"/>
                <w:szCs w:val="21"/>
              </w:rPr>
            </w:pPr>
            <w:r w:rsidRPr="008A7A56">
              <w:rPr>
                <w:rFonts w:ascii="华文宋体" w:eastAsia="华文宋体" w:hAnsi="华文宋体" w:cs="Times New Roman" w:hint="eastAsia"/>
                <w:color w:val="000000" w:themeColor="text1"/>
                <w:kern w:val="24"/>
                <w:szCs w:val="21"/>
              </w:rPr>
              <w:t>蛋白药物表征分析</w:t>
            </w:r>
          </w:p>
        </w:tc>
        <w:tc>
          <w:tcPr>
            <w:tcW w:w="0" w:type="auto"/>
            <w:vAlign w:val="center"/>
          </w:tcPr>
          <w:p w14:paraId="52A799AA" w14:textId="77777777" w:rsidR="005265E1" w:rsidRPr="00312FEB" w:rsidRDefault="005265E1" w:rsidP="0009129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仿宋" w:eastAsia="华文仿宋" w:hAnsi="华文仿宋" w:cs="Arial"/>
                <w:kern w:val="0"/>
                <w:sz w:val="18"/>
                <w:szCs w:val="18"/>
              </w:rPr>
            </w:pP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sym w:font="Wingdings" w:char="F08C"/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抗体分子量测定（重链及轻链分子量）；</w:t>
            </w:r>
          </w:p>
          <w:p w14:paraId="02BEE2D5" w14:textId="77777777" w:rsidR="005265E1" w:rsidRPr="00312FEB" w:rsidRDefault="005265E1" w:rsidP="0009129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仿宋" w:eastAsia="华文仿宋" w:hAnsi="华文仿宋" w:cs="Arial"/>
                <w:kern w:val="0"/>
                <w:sz w:val="18"/>
                <w:szCs w:val="18"/>
              </w:rPr>
            </w:pP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sym w:font="Wingdings" w:char="F08D"/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抗体氨基酸序列分析（序列全覆盖分析）；</w:t>
            </w:r>
          </w:p>
          <w:p w14:paraId="7010B136" w14:textId="77777777" w:rsidR="005265E1" w:rsidRPr="00312FEB" w:rsidRDefault="005265E1" w:rsidP="0009129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仿宋" w:eastAsia="华文仿宋" w:hAnsi="华文仿宋" w:cs="Arial"/>
                <w:kern w:val="0"/>
                <w:sz w:val="18"/>
                <w:szCs w:val="18"/>
              </w:rPr>
            </w:pP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sym w:font="Wingdings" w:char="F08E"/>
            </w:r>
            <w:proofErr w:type="gramStart"/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抗体糖型分析</w:t>
            </w:r>
            <w:proofErr w:type="gramEnd"/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（基于分子量测定）；</w:t>
            </w:r>
          </w:p>
          <w:p w14:paraId="4B6B486C" w14:textId="77777777" w:rsidR="005265E1" w:rsidRPr="00312FEB" w:rsidRDefault="005265E1" w:rsidP="0009129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仿宋" w:eastAsia="华文仿宋" w:hAnsi="华文仿宋" w:cs="Arial"/>
                <w:kern w:val="0"/>
                <w:sz w:val="18"/>
                <w:szCs w:val="18"/>
              </w:rPr>
            </w:pP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sym w:font="Wingdings" w:char="F08F"/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抗体变构体分析（氨基酸取代、电荷异构体）；</w:t>
            </w:r>
          </w:p>
          <w:p w14:paraId="6DC645E7" w14:textId="77777777" w:rsidR="005265E1" w:rsidRPr="00312FEB" w:rsidRDefault="005265E1" w:rsidP="0009129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仿宋" w:eastAsia="华文仿宋" w:hAnsi="华文仿宋" w:cs="Arial"/>
                <w:kern w:val="0"/>
                <w:sz w:val="18"/>
                <w:szCs w:val="18"/>
              </w:rPr>
            </w:pP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sym w:font="Wingdings" w:char="F090"/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抗体翻译后修饰分析；</w:t>
            </w:r>
          </w:p>
          <w:p w14:paraId="6A74939F" w14:textId="77777777" w:rsidR="005265E1" w:rsidRPr="00312FEB" w:rsidRDefault="005265E1" w:rsidP="0009129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仿宋" w:eastAsia="华文仿宋" w:hAnsi="华文仿宋" w:cs="Arial"/>
                <w:kern w:val="0"/>
                <w:sz w:val="18"/>
                <w:szCs w:val="18"/>
              </w:rPr>
            </w:pP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sym w:font="Wingdings" w:char="F091"/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抗体糖谱分析；</w:t>
            </w:r>
          </w:p>
          <w:p w14:paraId="15501966" w14:textId="77777777" w:rsidR="005265E1" w:rsidRPr="00312FEB" w:rsidRDefault="005265E1" w:rsidP="0009129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仿宋" w:eastAsia="华文仿宋" w:hAnsi="华文仿宋" w:cs="Arial"/>
                <w:kern w:val="0"/>
                <w:sz w:val="18"/>
                <w:szCs w:val="18"/>
              </w:rPr>
            </w:pP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sym w:font="Wingdings" w:char="F092"/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抗体二硫键鉴定和定量；</w:t>
            </w:r>
          </w:p>
          <w:p w14:paraId="3CEB2157" w14:textId="77777777" w:rsidR="005265E1" w:rsidRPr="00312FEB" w:rsidRDefault="005265E1" w:rsidP="0009129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仿宋" w:eastAsia="华文仿宋" w:hAnsi="华文仿宋" w:cs="Arial"/>
                <w:kern w:val="0"/>
                <w:sz w:val="18"/>
                <w:szCs w:val="18"/>
              </w:rPr>
            </w:pP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lastRenderedPageBreak/>
              <w:sym w:font="Wingdings" w:char="F093"/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抗体高级结构及稳定性分析；</w:t>
            </w:r>
          </w:p>
          <w:p w14:paraId="236AE4CB" w14:textId="77777777" w:rsidR="005265E1" w:rsidRPr="00312FEB" w:rsidRDefault="005265E1" w:rsidP="0009129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仿宋" w:eastAsia="华文仿宋" w:hAnsi="华文仿宋" w:cs="Arial"/>
                <w:kern w:val="0"/>
                <w:sz w:val="18"/>
                <w:szCs w:val="18"/>
              </w:rPr>
            </w:pP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sym w:font="Wingdings" w:char="F094"/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抗体纯度和杂质分析；</w:t>
            </w:r>
          </w:p>
          <w:p w14:paraId="56D7FF95" w14:textId="77777777" w:rsidR="005265E1" w:rsidRPr="00312FEB" w:rsidRDefault="005265E1" w:rsidP="0009129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仿宋" w:eastAsia="华文仿宋" w:hAnsi="华文仿宋" w:cs="Times New Roman"/>
                <w:color w:val="000000" w:themeColor="text1"/>
                <w:kern w:val="24"/>
                <w:sz w:val="18"/>
                <w:szCs w:val="18"/>
              </w:rPr>
            </w:pP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sym w:font="Wingdings" w:char="F095"/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抗体宿主细胞蛋白（</w:t>
            </w:r>
            <w:r w:rsidRPr="00312FEB">
              <w:rPr>
                <w:rFonts w:ascii="华文仿宋" w:eastAsia="华文仿宋" w:hAnsi="华文仿宋" w:cs="Times New Roman"/>
                <w:color w:val="000000" w:themeColor="dark1"/>
                <w:kern w:val="24"/>
                <w:sz w:val="18"/>
                <w:szCs w:val="18"/>
              </w:rPr>
              <w:t>HCP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）分析等。</w:t>
            </w:r>
          </w:p>
        </w:tc>
      </w:tr>
      <w:tr w:rsidR="005265E1" w:rsidRPr="008A7A56" w14:paraId="3FC248AE" w14:textId="77777777" w:rsidTr="000912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BDCD997" w14:textId="77777777" w:rsidR="005265E1" w:rsidRPr="008A7A56" w:rsidRDefault="005265E1" w:rsidP="00091299">
            <w:pPr>
              <w:widowControl/>
              <w:rPr>
                <w:rFonts w:ascii="华文宋体" w:eastAsia="华文宋体" w:hAnsi="华文宋体" w:cs="Times New Roman"/>
                <w:b w:val="0"/>
                <w:bCs w:val="0"/>
                <w:color w:val="000000" w:themeColor="text1"/>
                <w:kern w:val="24"/>
                <w:szCs w:val="21"/>
              </w:rPr>
            </w:pPr>
            <w:r w:rsidRPr="008A7A56">
              <w:rPr>
                <w:rFonts w:ascii="华文宋体" w:eastAsia="华文宋体" w:hAnsi="华文宋体" w:cs="Times New Roman" w:hint="eastAsia"/>
                <w:color w:val="000000" w:themeColor="text1"/>
                <w:kern w:val="24"/>
                <w:szCs w:val="21"/>
              </w:rPr>
              <w:lastRenderedPageBreak/>
              <w:t>定量</w:t>
            </w:r>
            <w:proofErr w:type="gramStart"/>
            <w:r w:rsidRPr="008A7A56">
              <w:rPr>
                <w:rFonts w:ascii="华文宋体" w:eastAsia="华文宋体" w:hAnsi="华文宋体" w:cs="Times New Roman" w:hint="eastAsia"/>
                <w:color w:val="000000" w:themeColor="text1"/>
                <w:kern w:val="24"/>
                <w:szCs w:val="21"/>
              </w:rPr>
              <w:t>代谢组</w:t>
            </w:r>
            <w:proofErr w:type="gramEnd"/>
            <w:r w:rsidRPr="008A7A56">
              <w:rPr>
                <w:rFonts w:ascii="华文宋体" w:eastAsia="华文宋体" w:hAnsi="华文宋体" w:cs="Times New Roman" w:hint="eastAsia"/>
                <w:color w:val="000000" w:themeColor="text1"/>
                <w:kern w:val="24"/>
                <w:szCs w:val="21"/>
              </w:rPr>
              <w:t>学</w:t>
            </w:r>
          </w:p>
        </w:tc>
        <w:tc>
          <w:tcPr>
            <w:tcW w:w="0" w:type="auto"/>
            <w:vAlign w:val="center"/>
          </w:tcPr>
          <w:p w14:paraId="0294352D" w14:textId="77777777" w:rsidR="005265E1" w:rsidRPr="00312FEB" w:rsidRDefault="005265E1" w:rsidP="00091299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华文仿宋" w:eastAsia="华文仿宋" w:hAnsi="华文仿宋" w:cs="Arial"/>
                <w:kern w:val="0"/>
                <w:sz w:val="18"/>
                <w:szCs w:val="18"/>
              </w:rPr>
            </w:pP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sym w:font="Wingdings" w:char="F08C"/>
            </w:r>
            <w:proofErr w:type="gramStart"/>
            <w:r w:rsidRPr="00312FEB">
              <w:rPr>
                <w:rFonts w:ascii="华文仿宋" w:eastAsia="华文仿宋" w:hAnsi="华文仿宋" w:cs="Times New Roman" w:hint="eastAsia"/>
                <w:b/>
                <w:color w:val="000000" w:themeColor="dark1"/>
                <w:kern w:val="24"/>
                <w:sz w:val="18"/>
                <w:szCs w:val="18"/>
              </w:rPr>
              <w:t>非靶向代谢组</w:t>
            </w:r>
            <w:proofErr w:type="gramEnd"/>
            <w:r w:rsidRPr="00312FEB">
              <w:rPr>
                <w:rFonts w:ascii="华文仿宋" w:eastAsia="华文仿宋" w:hAnsi="华文仿宋" w:cs="Times New Roman" w:hint="eastAsia"/>
                <w:b/>
                <w:color w:val="000000" w:themeColor="dark1"/>
                <w:kern w:val="24"/>
                <w:sz w:val="18"/>
                <w:szCs w:val="18"/>
              </w:rPr>
              <w:t>学: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 xml:space="preserve"> 采用</w:t>
            </w:r>
            <w:r w:rsidRPr="00312FEB">
              <w:rPr>
                <w:rFonts w:ascii="华文仿宋" w:eastAsia="华文仿宋" w:hAnsi="华文仿宋" w:cs="Times New Roman"/>
                <w:color w:val="000000" w:themeColor="dark1"/>
                <w:kern w:val="24"/>
                <w:sz w:val="18"/>
                <w:szCs w:val="18"/>
              </w:rPr>
              <w:t>LC-MS/MS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技术，无偏向性的检测细胞、组织、器官或者生物体内受到刺激或扰动前后所有小分子代谢物（主要是相对分子量</w:t>
            </w:r>
            <w:r w:rsidRPr="00312FEB">
              <w:rPr>
                <w:rFonts w:ascii="华文仿宋" w:eastAsia="华文仿宋" w:hAnsi="华文仿宋" w:cs="Times New Roman"/>
                <w:color w:val="000000" w:themeColor="dark1"/>
                <w:kern w:val="24"/>
                <w:sz w:val="18"/>
                <w:szCs w:val="18"/>
              </w:rPr>
              <w:t>1000 Da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以内的内源性小分子化合物）的动态变化，并通过</w:t>
            </w:r>
            <w:proofErr w:type="gramStart"/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生信分析</w:t>
            </w:r>
            <w:proofErr w:type="gramEnd"/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筛选差异代谢物，对差异代谢物进行通路分析，揭示其变化的生理机制；</w:t>
            </w:r>
          </w:p>
          <w:p w14:paraId="0AC89F1F" w14:textId="77777777" w:rsidR="005265E1" w:rsidRPr="00312FEB" w:rsidRDefault="005265E1" w:rsidP="00091299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华文仿宋" w:eastAsia="华文仿宋" w:hAnsi="华文仿宋" w:cs="Arial"/>
                <w:kern w:val="0"/>
                <w:sz w:val="18"/>
                <w:szCs w:val="18"/>
              </w:rPr>
            </w:pP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sym w:font="Wingdings" w:char="F08D"/>
            </w:r>
            <w:r w:rsidRPr="00312FEB">
              <w:rPr>
                <w:rFonts w:ascii="华文仿宋" w:eastAsia="华文仿宋" w:hAnsi="华文仿宋" w:cs="Times New Roman" w:hint="eastAsia"/>
                <w:b/>
                <w:color w:val="000000" w:themeColor="dark1"/>
                <w:kern w:val="24"/>
                <w:sz w:val="18"/>
                <w:szCs w:val="18"/>
              </w:rPr>
              <w:t>脂质组学：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脂质</w:t>
            </w:r>
            <w:proofErr w:type="gramStart"/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组系统</w:t>
            </w:r>
            <w:proofErr w:type="gramEnd"/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研究生物体脂质组成与表达变化，进而阐明脂类家族、脂质分子参与的生物活动机制与原理。脂质主要可分为</w:t>
            </w:r>
            <w:r w:rsidRPr="00312FEB">
              <w:rPr>
                <w:rFonts w:ascii="华文仿宋" w:eastAsia="华文仿宋" w:hAnsi="华文仿宋" w:cs="Times New Roman"/>
                <w:color w:val="000000" w:themeColor="dark1"/>
                <w:kern w:val="24"/>
                <w:sz w:val="18"/>
                <w:szCs w:val="18"/>
              </w:rPr>
              <w:t>8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大类：脂肪酸类、甘油脂类、甘油磷脂类、鞘脂类、固醇脂类、孕烯醇酮脂类、糖脂类、多聚乙烯类；</w:t>
            </w:r>
          </w:p>
          <w:p w14:paraId="4D8D1C57" w14:textId="77777777" w:rsidR="005265E1" w:rsidRPr="00312FEB" w:rsidRDefault="005265E1" w:rsidP="00091299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华文仿宋" w:eastAsia="华文仿宋" w:hAnsi="华文仿宋" w:cs="Arial"/>
                <w:kern w:val="0"/>
                <w:sz w:val="18"/>
                <w:szCs w:val="18"/>
              </w:rPr>
            </w:pP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sym w:font="Wingdings" w:char="F08E"/>
            </w:r>
            <w:r w:rsidRPr="00312FEB">
              <w:rPr>
                <w:rFonts w:ascii="华文仿宋" w:eastAsia="华文仿宋" w:hAnsi="华文仿宋" w:cs="Times New Roman" w:hint="eastAsia"/>
                <w:b/>
                <w:color w:val="000000" w:themeColor="dark1"/>
                <w:kern w:val="24"/>
                <w:sz w:val="18"/>
                <w:szCs w:val="18"/>
              </w:rPr>
              <w:t>靶向</w:t>
            </w:r>
            <w:proofErr w:type="gramStart"/>
            <w:r w:rsidRPr="00312FEB">
              <w:rPr>
                <w:rFonts w:ascii="华文仿宋" w:eastAsia="华文仿宋" w:hAnsi="华文仿宋" w:cs="Times New Roman" w:hint="eastAsia"/>
                <w:b/>
                <w:color w:val="000000" w:themeColor="dark1"/>
                <w:kern w:val="24"/>
                <w:sz w:val="18"/>
                <w:szCs w:val="18"/>
              </w:rPr>
              <w:t>代谢组</w:t>
            </w:r>
            <w:proofErr w:type="gramEnd"/>
            <w:r w:rsidRPr="00312FEB">
              <w:rPr>
                <w:rFonts w:ascii="华文仿宋" w:eastAsia="华文仿宋" w:hAnsi="华文仿宋" w:cs="Times New Roman" w:hint="eastAsia"/>
                <w:b/>
                <w:color w:val="000000" w:themeColor="dark1"/>
                <w:kern w:val="24"/>
                <w:sz w:val="18"/>
                <w:szCs w:val="18"/>
              </w:rPr>
              <w:t>学：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靶向</w:t>
            </w:r>
            <w:proofErr w:type="gramStart"/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代谢组</w:t>
            </w:r>
            <w:proofErr w:type="gramEnd"/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主要是以标准品为参照，对特定的代谢物进行有针对性地、特异性地检测与分析。靶向</w:t>
            </w:r>
            <w:proofErr w:type="gramStart"/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代谢组检测</w:t>
            </w:r>
            <w:proofErr w:type="gramEnd"/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物质：氨基酸（</w:t>
            </w:r>
            <w:r w:rsidRPr="00312FEB">
              <w:rPr>
                <w:rFonts w:ascii="华文仿宋" w:eastAsia="华文仿宋" w:hAnsi="华文仿宋" w:cs="Times New Roman"/>
                <w:color w:val="000000" w:themeColor="dark1"/>
                <w:kern w:val="24"/>
                <w:sz w:val="18"/>
                <w:szCs w:val="18"/>
              </w:rPr>
              <w:t>40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）、长链游离脂肪酸（</w:t>
            </w:r>
            <w:r w:rsidRPr="00312FEB">
              <w:rPr>
                <w:rFonts w:ascii="华文仿宋" w:eastAsia="华文仿宋" w:hAnsi="华文仿宋" w:cs="Times New Roman"/>
                <w:color w:val="000000" w:themeColor="dark1"/>
                <w:kern w:val="24"/>
                <w:sz w:val="18"/>
                <w:szCs w:val="18"/>
              </w:rPr>
              <w:t>30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）、短链脂肪酸（</w:t>
            </w:r>
            <w:r w:rsidRPr="00312FEB">
              <w:rPr>
                <w:rFonts w:ascii="华文仿宋" w:eastAsia="华文仿宋" w:hAnsi="华文仿宋" w:cs="Times New Roman"/>
                <w:color w:val="000000" w:themeColor="dark1"/>
                <w:kern w:val="24"/>
                <w:sz w:val="18"/>
                <w:szCs w:val="18"/>
              </w:rPr>
              <w:t>7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）、胆汁酸（</w:t>
            </w:r>
            <w:r w:rsidRPr="00312FEB">
              <w:rPr>
                <w:rFonts w:ascii="华文仿宋" w:eastAsia="华文仿宋" w:hAnsi="华文仿宋" w:cs="Times New Roman"/>
                <w:color w:val="000000" w:themeColor="dark1"/>
                <w:kern w:val="24"/>
                <w:sz w:val="18"/>
                <w:szCs w:val="18"/>
              </w:rPr>
              <w:t>19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）、有机酸（</w:t>
            </w:r>
            <w:r w:rsidRPr="00312FEB">
              <w:rPr>
                <w:rFonts w:ascii="华文仿宋" w:eastAsia="华文仿宋" w:hAnsi="华文仿宋" w:cs="Times New Roman"/>
                <w:color w:val="000000" w:themeColor="dark1"/>
                <w:kern w:val="24"/>
                <w:sz w:val="18"/>
                <w:szCs w:val="18"/>
              </w:rPr>
              <w:t>8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）、激素（</w:t>
            </w:r>
            <w:r w:rsidRPr="00312FEB">
              <w:rPr>
                <w:rFonts w:ascii="华文仿宋" w:eastAsia="华文仿宋" w:hAnsi="华文仿宋" w:cs="Times New Roman"/>
                <w:color w:val="000000" w:themeColor="dark1"/>
                <w:kern w:val="24"/>
                <w:sz w:val="18"/>
                <w:szCs w:val="18"/>
              </w:rPr>
              <w:t>17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）、维生素（</w:t>
            </w:r>
            <w:r w:rsidRPr="00312FEB">
              <w:rPr>
                <w:rFonts w:ascii="华文仿宋" w:eastAsia="华文仿宋" w:hAnsi="华文仿宋" w:cs="Times New Roman"/>
                <w:color w:val="000000" w:themeColor="dark1"/>
                <w:kern w:val="24"/>
                <w:sz w:val="18"/>
                <w:szCs w:val="18"/>
              </w:rPr>
              <w:t>18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）、极性小分子（</w:t>
            </w:r>
            <w:r w:rsidRPr="00312FEB">
              <w:rPr>
                <w:rFonts w:ascii="华文仿宋" w:eastAsia="华文仿宋" w:hAnsi="华文仿宋" w:cs="Times New Roman"/>
                <w:color w:val="000000" w:themeColor="dark1"/>
                <w:kern w:val="24"/>
                <w:sz w:val="18"/>
                <w:szCs w:val="18"/>
              </w:rPr>
              <w:t>66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）；</w:t>
            </w:r>
          </w:p>
          <w:p w14:paraId="3985094B" w14:textId="77777777" w:rsidR="005265E1" w:rsidRPr="00312FEB" w:rsidRDefault="005265E1" w:rsidP="00091299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华文仿宋" w:eastAsia="华文仿宋" w:hAnsi="华文仿宋" w:cs="Arial"/>
                <w:kern w:val="0"/>
                <w:sz w:val="18"/>
                <w:szCs w:val="18"/>
              </w:rPr>
            </w:pP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sym w:font="Wingdings" w:char="F08F"/>
            </w:r>
            <w:r w:rsidRPr="00312FEB">
              <w:rPr>
                <w:rFonts w:ascii="华文仿宋" w:eastAsia="华文仿宋" w:hAnsi="华文仿宋" w:cs="Times New Roman" w:hint="eastAsia"/>
                <w:b/>
                <w:color w:val="000000" w:themeColor="dark1"/>
                <w:kern w:val="24"/>
                <w:sz w:val="18"/>
                <w:szCs w:val="18"/>
              </w:rPr>
              <w:t>高通量靶向脂质组学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：基于</w:t>
            </w:r>
            <w:r w:rsidRPr="00312FEB">
              <w:rPr>
                <w:rFonts w:ascii="华文仿宋" w:eastAsia="华文仿宋" w:hAnsi="华文仿宋" w:cs="Times New Roman"/>
                <w:color w:val="000000" w:themeColor="dark1"/>
                <w:kern w:val="24"/>
                <w:sz w:val="18"/>
                <w:szCs w:val="18"/>
              </w:rPr>
              <w:t>LC-MS/MS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技术，可以高通量模式，批量准确鉴定代谢物，靶向检测到</w:t>
            </w:r>
            <w:r w:rsidRPr="00312FEB">
              <w:rPr>
                <w:rFonts w:ascii="华文仿宋" w:eastAsia="华文仿宋" w:hAnsi="华文仿宋" w:cs="Times New Roman"/>
                <w:color w:val="000000" w:themeColor="dark1"/>
                <w:kern w:val="24"/>
                <w:sz w:val="18"/>
                <w:szCs w:val="18"/>
              </w:rPr>
              <w:t>1000+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种脂质，主要包括甘油脂类、鞘脂类和固醇脂类。</w:t>
            </w:r>
          </w:p>
        </w:tc>
      </w:tr>
      <w:tr w:rsidR="005265E1" w:rsidRPr="008A7A56" w14:paraId="32BCE255" w14:textId="77777777" w:rsidTr="00091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B6B0B29" w14:textId="77777777" w:rsidR="005265E1" w:rsidRPr="008A7A56" w:rsidRDefault="005265E1" w:rsidP="00091299">
            <w:pPr>
              <w:widowControl/>
              <w:rPr>
                <w:rFonts w:ascii="华文宋体" w:eastAsia="华文宋体" w:hAnsi="华文宋体" w:cs="Times New Roman"/>
                <w:b w:val="0"/>
                <w:bCs w:val="0"/>
                <w:color w:val="000000" w:themeColor="text1"/>
                <w:kern w:val="24"/>
                <w:szCs w:val="21"/>
              </w:rPr>
            </w:pPr>
            <w:r w:rsidRPr="008A7A56">
              <w:rPr>
                <w:rFonts w:ascii="华文宋体" w:eastAsia="华文宋体" w:hAnsi="华文宋体" w:cs="Times New Roman" w:hint="eastAsia"/>
                <w:color w:val="000000" w:themeColor="text1"/>
                <w:kern w:val="24"/>
                <w:szCs w:val="21"/>
              </w:rPr>
              <w:t>基于代谢流建模的多组学技术方案</w:t>
            </w:r>
          </w:p>
        </w:tc>
        <w:tc>
          <w:tcPr>
            <w:tcW w:w="0" w:type="auto"/>
            <w:vAlign w:val="center"/>
          </w:tcPr>
          <w:p w14:paraId="7497F676" w14:textId="77777777" w:rsidR="005265E1" w:rsidRPr="00312FEB" w:rsidRDefault="005265E1" w:rsidP="0009129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仿宋" w:eastAsia="华文仿宋" w:hAnsi="华文仿宋" w:cs="Arial"/>
                <w:kern w:val="0"/>
                <w:sz w:val="18"/>
                <w:szCs w:val="18"/>
              </w:rPr>
            </w:pP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sym w:font="Wingdings" w:char="F08C"/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基于基因组、转录组（蛋白组及</w:t>
            </w:r>
            <w:proofErr w:type="gramStart"/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代谢组</w:t>
            </w:r>
            <w:proofErr w:type="gramEnd"/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数据也可）数据建立代谢流分析模型（注：建模工作只是代谢流分析的第一步，大量工作需要借助</w:t>
            </w:r>
            <w:proofErr w:type="gramStart"/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液质联用</w:t>
            </w:r>
            <w:proofErr w:type="gramEnd"/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质谱进行大量代谢物或中间代谢物的快速定量分析，重复进行模型完善和优化）；</w:t>
            </w:r>
          </w:p>
          <w:p w14:paraId="04D71384" w14:textId="77777777" w:rsidR="005265E1" w:rsidRPr="00312FEB" w:rsidRDefault="005265E1" w:rsidP="0009129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仿宋" w:eastAsia="华文仿宋" w:hAnsi="华文仿宋" w:cs="Arial"/>
                <w:kern w:val="0"/>
                <w:sz w:val="18"/>
                <w:szCs w:val="18"/>
              </w:rPr>
            </w:pP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sym w:font="Wingdings" w:char="F08D"/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代谢途径追踪：采用同位素示踪分析法，追踪底物代谢途径，通过稳定同位素标记的底物培养细胞或细菌，通过质谱（通常</w:t>
            </w:r>
            <w:r w:rsidRPr="00312FEB">
              <w:rPr>
                <w:rFonts w:ascii="华文仿宋" w:eastAsia="华文仿宋" w:hAnsi="华文仿宋" w:cs="Times New Roman"/>
                <w:color w:val="000000" w:themeColor="dark1"/>
                <w:kern w:val="24"/>
                <w:sz w:val="18"/>
                <w:szCs w:val="18"/>
              </w:rPr>
              <w:t>QQQ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，</w:t>
            </w:r>
            <w:r w:rsidRPr="00312FEB">
              <w:rPr>
                <w:rFonts w:ascii="华文仿宋" w:eastAsia="华文仿宋" w:hAnsi="华文仿宋" w:cs="Times New Roman"/>
                <w:color w:val="000000" w:themeColor="dark1"/>
                <w:kern w:val="24"/>
                <w:sz w:val="18"/>
                <w:szCs w:val="18"/>
              </w:rPr>
              <w:t>MRM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方法）同时定量特定代谢途径（如</w:t>
            </w:r>
            <w:r w:rsidRPr="00312FEB">
              <w:rPr>
                <w:rFonts w:ascii="华文仿宋" w:eastAsia="华文仿宋" w:hAnsi="华文仿宋" w:cs="Times New Roman"/>
                <w:color w:val="000000" w:themeColor="dark1"/>
                <w:kern w:val="24"/>
                <w:sz w:val="18"/>
                <w:szCs w:val="18"/>
              </w:rPr>
              <w:t>TCA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循环）大量中间产物或终产物，进行代谢模型进一步分析，确定底物流量和代谢途径；</w:t>
            </w:r>
          </w:p>
          <w:p w14:paraId="4A14722A" w14:textId="77777777" w:rsidR="005265E1" w:rsidRPr="00312FEB" w:rsidRDefault="005265E1" w:rsidP="0009129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仿宋" w:eastAsia="华文仿宋" w:hAnsi="华文仿宋" w:cs="Times New Roman"/>
                <w:color w:val="000000" w:themeColor="dark1"/>
                <w:kern w:val="24"/>
                <w:sz w:val="18"/>
                <w:szCs w:val="18"/>
              </w:rPr>
            </w:pP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sym w:font="Wingdings" w:char="F08E"/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发酵及培养条件优化（工艺优化）：在前期基因组及</w:t>
            </w:r>
            <w:proofErr w:type="gramStart"/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转录组</w:t>
            </w:r>
            <w:proofErr w:type="gramEnd"/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建模的基础上，针对工程菌株在小试及中试阶段的工艺优化阶段，改变底物投放量、加氧量等条件，利用生物质</w:t>
            </w:r>
            <w:proofErr w:type="gramStart"/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谱同时</w:t>
            </w:r>
            <w:proofErr w:type="gramEnd"/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监测（定量）目标产物合成途径过程中的各种中间产物和终产物，通过代谢流模型优化，找到最佳的发酵条件及生产工艺；</w:t>
            </w:r>
            <w:r w:rsidRPr="00312FEB">
              <w:rPr>
                <w:rFonts w:ascii="华文仿宋" w:eastAsia="华文仿宋" w:hAnsi="华文仿宋" w:cs="Times New Roman"/>
                <w:color w:val="000000" w:themeColor="dark1"/>
                <w:kern w:val="24"/>
                <w:sz w:val="18"/>
                <w:szCs w:val="18"/>
              </w:rPr>
              <w:t xml:space="preserve">                                                                                   </w:t>
            </w:r>
          </w:p>
          <w:p w14:paraId="0D6C8C7A" w14:textId="77777777" w:rsidR="005265E1" w:rsidRPr="00312FEB" w:rsidRDefault="005265E1" w:rsidP="0009129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仿宋" w:eastAsia="华文仿宋" w:hAnsi="华文仿宋" w:cs="Arial"/>
                <w:kern w:val="0"/>
                <w:sz w:val="18"/>
                <w:szCs w:val="18"/>
              </w:rPr>
            </w:pP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sym w:font="Wingdings" w:char="F08F"/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最佳敲除基因的预测和优化：在合成生物学领域或生物医学领域，为了优化代谢途径，或者阻断旁路途径，先采用代谢流模型预测最佳敲除基因组合，然后采用质谱进行代谢途径各个节点代谢物追踪检测，完善和验证基因敲除结果；</w:t>
            </w:r>
          </w:p>
          <w:p w14:paraId="1855E848" w14:textId="77777777" w:rsidR="005265E1" w:rsidRPr="00312FEB" w:rsidRDefault="005265E1" w:rsidP="0009129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仿宋" w:eastAsia="华文仿宋" w:hAnsi="华文仿宋" w:cs="Times New Roman"/>
                <w:color w:val="000000" w:themeColor="text1"/>
                <w:kern w:val="24"/>
                <w:sz w:val="18"/>
                <w:szCs w:val="18"/>
              </w:rPr>
            </w:pP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sym w:font="Wingdings" w:char="F090"/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基于代谢流建模及</w:t>
            </w:r>
            <w:r w:rsidRPr="00312FEB">
              <w:rPr>
                <w:rFonts w:ascii="华文仿宋" w:eastAsia="华文仿宋" w:hAnsi="华文仿宋" w:cs="Times New Roman"/>
                <w:color w:val="000000" w:themeColor="dark1"/>
                <w:kern w:val="24"/>
                <w:sz w:val="18"/>
                <w:szCs w:val="18"/>
              </w:rPr>
              <w:t>QQQ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质谱的</w:t>
            </w:r>
            <w:r w:rsidRPr="00312FEB">
              <w:rPr>
                <w:rFonts w:ascii="华文仿宋" w:eastAsia="华文仿宋" w:hAnsi="华文仿宋" w:cs="Times New Roman"/>
                <w:color w:val="000000" w:themeColor="dark1"/>
                <w:kern w:val="24"/>
                <w:sz w:val="18"/>
                <w:szCs w:val="18"/>
              </w:rPr>
              <w:t>MRM</w:t>
            </w:r>
            <w:r w:rsidRPr="00312FEB">
              <w:rPr>
                <w:rFonts w:ascii="华文仿宋" w:eastAsia="华文仿宋" w:hAnsi="华文仿宋" w:cs="Times New Roman" w:hint="eastAsia"/>
                <w:color w:val="000000" w:themeColor="dark1"/>
                <w:kern w:val="24"/>
                <w:sz w:val="18"/>
                <w:szCs w:val="18"/>
              </w:rPr>
              <w:t>方法的代谢流分析，应用非常广泛，可根据具体课题进行设计，如代谢途径优化、工程菌株筛选、新代谢途径发现及酶制剂筛选等。</w:t>
            </w:r>
            <w:r w:rsidRPr="00312FEB">
              <w:rPr>
                <w:rFonts w:ascii="华文仿宋" w:eastAsia="华文仿宋" w:hAnsi="华文仿宋" w:cs="Times New Roman"/>
                <w:color w:val="000000" w:themeColor="dark1"/>
                <w:kern w:val="24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234476AE" w14:textId="77777777" w:rsidR="000B7661" w:rsidRPr="008A7A56" w:rsidRDefault="000B7661">
      <w:pPr>
        <w:jc w:val="left"/>
        <w:rPr>
          <w:rFonts w:ascii="华文宋体" w:eastAsia="华文宋体" w:hAnsi="华文宋体" w:cs="Times New Roman"/>
          <w:szCs w:val="21"/>
        </w:rPr>
      </w:pPr>
    </w:p>
    <w:sectPr w:rsidR="000B7661" w:rsidRPr="008A7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7D839" w14:textId="77777777" w:rsidR="00FD3364" w:rsidRDefault="00FD3364" w:rsidP="00841946">
      <w:r>
        <w:separator/>
      </w:r>
    </w:p>
  </w:endnote>
  <w:endnote w:type="continuationSeparator" w:id="0">
    <w:p w14:paraId="11852141" w14:textId="77777777" w:rsidR="00FD3364" w:rsidRDefault="00FD3364" w:rsidP="0084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B9608" w14:textId="77777777" w:rsidR="00FD3364" w:rsidRDefault="00FD3364" w:rsidP="00841946">
      <w:r>
        <w:separator/>
      </w:r>
    </w:p>
  </w:footnote>
  <w:footnote w:type="continuationSeparator" w:id="0">
    <w:p w14:paraId="1A24C6CB" w14:textId="77777777" w:rsidR="00FD3364" w:rsidRDefault="00FD3364" w:rsidP="00841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028"/>
    <w:multiLevelType w:val="hybridMultilevel"/>
    <w:tmpl w:val="D04C766A"/>
    <w:lvl w:ilvl="0" w:tplc="C1789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6A0DA6"/>
    <w:multiLevelType w:val="hybridMultilevel"/>
    <w:tmpl w:val="1AC2C70E"/>
    <w:lvl w:ilvl="0" w:tplc="DFAA1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C"/>
    <w:rsid w:val="000104CB"/>
    <w:rsid w:val="00016576"/>
    <w:rsid w:val="000205F6"/>
    <w:rsid w:val="00022626"/>
    <w:rsid w:val="0004003E"/>
    <w:rsid w:val="000532C5"/>
    <w:rsid w:val="00064415"/>
    <w:rsid w:val="00065C7C"/>
    <w:rsid w:val="00071DF1"/>
    <w:rsid w:val="000805D2"/>
    <w:rsid w:val="00085651"/>
    <w:rsid w:val="00093CED"/>
    <w:rsid w:val="000B521D"/>
    <w:rsid w:val="000B7661"/>
    <w:rsid w:val="000D3E3B"/>
    <w:rsid w:val="000D4D7A"/>
    <w:rsid w:val="000D70CC"/>
    <w:rsid w:val="001C3C2A"/>
    <w:rsid w:val="00220CDF"/>
    <w:rsid w:val="00225AEC"/>
    <w:rsid w:val="0023583B"/>
    <w:rsid w:val="002405AA"/>
    <w:rsid w:val="00245414"/>
    <w:rsid w:val="0025191A"/>
    <w:rsid w:val="00283951"/>
    <w:rsid w:val="00296D3C"/>
    <w:rsid w:val="002A6390"/>
    <w:rsid w:val="002A6F62"/>
    <w:rsid w:val="002B2C61"/>
    <w:rsid w:val="002D76A2"/>
    <w:rsid w:val="002E1E50"/>
    <w:rsid w:val="002E3845"/>
    <w:rsid w:val="00307CA6"/>
    <w:rsid w:val="00312FEB"/>
    <w:rsid w:val="00324CFC"/>
    <w:rsid w:val="00331856"/>
    <w:rsid w:val="00356195"/>
    <w:rsid w:val="00367D70"/>
    <w:rsid w:val="0038147D"/>
    <w:rsid w:val="00397385"/>
    <w:rsid w:val="003A4A5E"/>
    <w:rsid w:val="003A61FE"/>
    <w:rsid w:val="003A6EFA"/>
    <w:rsid w:val="003B09DA"/>
    <w:rsid w:val="003D08E6"/>
    <w:rsid w:val="003D3A19"/>
    <w:rsid w:val="004103D5"/>
    <w:rsid w:val="00430C79"/>
    <w:rsid w:val="00436E19"/>
    <w:rsid w:val="00437C7D"/>
    <w:rsid w:val="00446EA8"/>
    <w:rsid w:val="00461DBB"/>
    <w:rsid w:val="0047353C"/>
    <w:rsid w:val="00475FA6"/>
    <w:rsid w:val="004938A5"/>
    <w:rsid w:val="004B0881"/>
    <w:rsid w:val="004C1F8E"/>
    <w:rsid w:val="004C6A34"/>
    <w:rsid w:val="004D0DA4"/>
    <w:rsid w:val="004E552C"/>
    <w:rsid w:val="00503054"/>
    <w:rsid w:val="00516D9E"/>
    <w:rsid w:val="005265E1"/>
    <w:rsid w:val="00543AFA"/>
    <w:rsid w:val="00562450"/>
    <w:rsid w:val="00567104"/>
    <w:rsid w:val="005800F8"/>
    <w:rsid w:val="0058178B"/>
    <w:rsid w:val="00597C8E"/>
    <w:rsid w:val="005A18AD"/>
    <w:rsid w:val="005A56F1"/>
    <w:rsid w:val="005D1921"/>
    <w:rsid w:val="006055F4"/>
    <w:rsid w:val="006446A7"/>
    <w:rsid w:val="00654428"/>
    <w:rsid w:val="00655A62"/>
    <w:rsid w:val="00657B15"/>
    <w:rsid w:val="00660B9C"/>
    <w:rsid w:val="006801CB"/>
    <w:rsid w:val="006A622C"/>
    <w:rsid w:val="006D5245"/>
    <w:rsid w:val="00701533"/>
    <w:rsid w:val="007205C3"/>
    <w:rsid w:val="00742EAB"/>
    <w:rsid w:val="00747C1D"/>
    <w:rsid w:val="00756EE6"/>
    <w:rsid w:val="007570B4"/>
    <w:rsid w:val="00761762"/>
    <w:rsid w:val="007700E8"/>
    <w:rsid w:val="007A0997"/>
    <w:rsid w:val="007B5381"/>
    <w:rsid w:val="007C5A8C"/>
    <w:rsid w:val="007D1125"/>
    <w:rsid w:val="007D3C8E"/>
    <w:rsid w:val="007D53EE"/>
    <w:rsid w:val="007E18DB"/>
    <w:rsid w:val="007E648E"/>
    <w:rsid w:val="007F60FE"/>
    <w:rsid w:val="007F6312"/>
    <w:rsid w:val="007F6A1A"/>
    <w:rsid w:val="0080298B"/>
    <w:rsid w:val="00804609"/>
    <w:rsid w:val="00820F46"/>
    <w:rsid w:val="008335C1"/>
    <w:rsid w:val="0083635F"/>
    <w:rsid w:val="00836C74"/>
    <w:rsid w:val="00837652"/>
    <w:rsid w:val="00841946"/>
    <w:rsid w:val="00842462"/>
    <w:rsid w:val="00844BB9"/>
    <w:rsid w:val="008669C2"/>
    <w:rsid w:val="00874F34"/>
    <w:rsid w:val="00876C60"/>
    <w:rsid w:val="00884326"/>
    <w:rsid w:val="00895ED7"/>
    <w:rsid w:val="008A3119"/>
    <w:rsid w:val="008A7A56"/>
    <w:rsid w:val="008D0EBB"/>
    <w:rsid w:val="008E033F"/>
    <w:rsid w:val="008F62CA"/>
    <w:rsid w:val="00905A62"/>
    <w:rsid w:val="009235EC"/>
    <w:rsid w:val="00935035"/>
    <w:rsid w:val="009449D6"/>
    <w:rsid w:val="009A0C76"/>
    <w:rsid w:val="009C1446"/>
    <w:rsid w:val="009F03E8"/>
    <w:rsid w:val="009F7A25"/>
    <w:rsid w:val="00A02FCD"/>
    <w:rsid w:val="00A06E57"/>
    <w:rsid w:val="00A1631E"/>
    <w:rsid w:val="00A4716C"/>
    <w:rsid w:val="00A73E1D"/>
    <w:rsid w:val="00A82FCB"/>
    <w:rsid w:val="00AC1FCC"/>
    <w:rsid w:val="00AD1577"/>
    <w:rsid w:val="00AD7A85"/>
    <w:rsid w:val="00AE123F"/>
    <w:rsid w:val="00B0418B"/>
    <w:rsid w:val="00B12D94"/>
    <w:rsid w:val="00B37198"/>
    <w:rsid w:val="00B5738C"/>
    <w:rsid w:val="00B65F01"/>
    <w:rsid w:val="00B7493E"/>
    <w:rsid w:val="00B85365"/>
    <w:rsid w:val="00BA6AC2"/>
    <w:rsid w:val="00BB5935"/>
    <w:rsid w:val="00BE6FEC"/>
    <w:rsid w:val="00C103D7"/>
    <w:rsid w:val="00C20C1C"/>
    <w:rsid w:val="00C23886"/>
    <w:rsid w:val="00C54AD4"/>
    <w:rsid w:val="00C60207"/>
    <w:rsid w:val="00C66078"/>
    <w:rsid w:val="00C70FE8"/>
    <w:rsid w:val="00C7327D"/>
    <w:rsid w:val="00C8094B"/>
    <w:rsid w:val="00CC0A2E"/>
    <w:rsid w:val="00CF2105"/>
    <w:rsid w:val="00D23BD2"/>
    <w:rsid w:val="00D31257"/>
    <w:rsid w:val="00D329D5"/>
    <w:rsid w:val="00D55B83"/>
    <w:rsid w:val="00D972EC"/>
    <w:rsid w:val="00DA2332"/>
    <w:rsid w:val="00DB696D"/>
    <w:rsid w:val="00DC1B60"/>
    <w:rsid w:val="00DC213F"/>
    <w:rsid w:val="00DD0995"/>
    <w:rsid w:val="00DD1E36"/>
    <w:rsid w:val="00DE7DDB"/>
    <w:rsid w:val="00E070B1"/>
    <w:rsid w:val="00E14F97"/>
    <w:rsid w:val="00E45C55"/>
    <w:rsid w:val="00E53087"/>
    <w:rsid w:val="00E7236D"/>
    <w:rsid w:val="00E94C8D"/>
    <w:rsid w:val="00E97CF6"/>
    <w:rsid w:val="00EA79AD"/>
    <w:rsid w:val="00EB6FBA"/>
    <w:rsid w:val="00EC6C2F"/>
    <w:rsid w:val="00EE2774"/>
    <w:rsid w:val="00EF3C17"/>
    <w:rsid w:val="00F07B82"/>
    <w:rsid w:val="00F26827"/>
    <w:rsid w:val="00F35DEE"/>
    <w:rsid w:val="00F36436"/>
    <w:rsid w:val="00F4489E"/>
    <w:rsid w:val="00F55FB9"/>
    <w:rsid w:val="00F646F3"/>
    <w:rsid w:val="00F96DD9"/>
    <w:rsid w:val="00FB1305"/>
    <w:rsid w:val="00FB367A"/>
    <w:rsid w:val="00FB7240"/>
    <w:rsid w:val="00FD3364"/>
    <w:rsid w:val="00FE2A90"/>
    <w:rsid w:val="00FE6100"/>
    <w:rsid w:val="00FF0111"/>
    <w:rsid w:val="00FF3159"/>
    <w:rsid w:val="2B0C75EF"/>
    <w:rsid w:val="2E056EDA"/>
    <w:rsid w:val="3C48543D"/>
    <w:rsid w:val="5B9A32F1"/>
    <w:rsid w:val="5EE4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3E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9">
    <w:name w:val="Hyperlink"/>
    <w:basedOn w:val="a0"/>
    <w:uiPriority w:val="99"/>
    <w:unhideWhenUsed/>
    <w:rsid w:val="003B09DA"/>
    <w:rPr>
      <w:color w:val="0563C1" w:themeColor="hyperlink"/>
      <w:u w:val="single"/>
    </w:rPr>
  </w:style>
  <w:style w:type="table" w:styleId="-3">
    <w:name w:val="Light Grid Accent 3"/>
    <w:basedOn w:val="a1"/>
    <w:uiPriority w:val="62"/>
    <w:rsid w:val="00F36436"/>
    <w:rPr>
      <w:kern w:val="2"/>
      <w:sz w:val="21"/>
      <w:szCs w:val="22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2">
    <w:name w:val="Light Grid Accent 2"/>
    <w:basedOn w:val="a1"/>
    <w:uiPriority w:val="62"/>
    <w:rsid w:val="00397385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9">
    <w:name w:val="Hyperlink"/>
    <w:basedOn w:val="a0"/>
    <w:uiPriority w:val="99"/>
    <w:unhideWhenUsed/>
    <w:rsid w:val="003B09DA"/>
    <w:rPr>
      <w:color w:val="0563C1" w:themeColor="hyperlink"/>
      <w:u w:val="single"/>
    </w:rPr>
  </w:style>
  <w:style w:type="table" w:styleId="-3">
    <w:name w:val="Light Grid Accent 3"/>
    <w:basedOn w:val="a1"/>
    <w:uiPriority w:val="62"/>
    <w:rsid w:val="00F36436"/>
    <w:rPr>
      <w:kern w:val="2"/>
      <w:sz w:val="21"/>
      <w:szCs w:val="22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2">
    <w:name w:val="Light Grid Accent 2"/>
    <w:basedOn w:val="a1"/>
    <w:uiPriority w:val="62"/>
    <w:rsid w:val="00397385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yue</dc:creator>
  <cp:lastModifiedBy>NTKO</cp:lastModifiedBy>
  <cp:revision>6</cp:revision>
  <cp:lastPrinted>2020-07-02T07:06:00Z</cp:lastPrinted>
  <dcterms:created xsi:type="dcterms:W3CDTF">2020-07-03T06:21:00Z</dcterms:created>
  <dcterms:modified xsi:type="dcterms:W3CDTF">2020-07-06T07:36:00Z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